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2A" w:rsidRDefault="000815A8" w:rsidP="00CD37B9">
      <w:pPr>
        <w:pStyle w:val="Heading3"/>
        <w:spacing w:after="120"/>
        <w:jc w:val="center"/>
        <w:rPr>
          <w:sz w:val="21"/>
          <w:lang w:val="en-US"/>
        </w:rPr>
      </w:pPr>
      <w:r>
        <w:rPr>
          <w:sz w:val="21"/>
          <w:lang w:val="en-US"/>
        </w:rPr>
        <w:t xml:space="preserve"> </w:t>
      </w:r>
      <w:r w:rsidR="00860F57">
        <w:rPr>
          <w:sz w:val="21"/>
          <w:lang w:val="en-US"/>
        </w:rPr>
        <w:t xml:space="preserve"> </w:t>
      </w:r>
      <w:r w:rsidR="00774990">
        <w:rPr>
          <w:sz w:val="21"/>
          <w:lang w:val="en-US"/>
        </w:rPr>
        <w:t>HEADS OF TERMS</w:t>
      </w:r>
      <w:r w:rsidR="00B14157">
        <w:rPr>
          <w:sz w:val="21"/>
          <w:lang w:val="en-US"/>
        </w:rPr>
        <w:t xml:space="preserve"> </w:t>
      </w:r>
    </w:p>
    <w:p w:rsidR="0057070D" w:rsidRDefault="00501245" w:rsidP="00F771F3">
      <w:pPr>
        <w:pStyle w:val="BKnormal"/>
        <w:jc w:val="center"/>
        <w:rPr>
          <w:b/>
          <w:lang w:val="en-US"/>
        </w:rPr>
      </w:pPr>
      <w:r>
        <w:rPr>
          <w:b/>
          <w:lang w:val="en-US"/>
        </w:rPr>
        <w:t>Business Lease</w:t>
      </w:r>
      <w:r w:rsidR="00C57972">
        <w:rPr>
          <w:b/>
          <w:lang w:val="en-US"/>
        </w:rPr>
        <w:t xml:space="preserve"> </w:t>
      </w:r>
      <w:r w:rsidR="001E132F" w:rsidRPr="001E132F">
        <w:rPr>
          <w:b/>
          <w:lang w:val="en-US"/>
        </w:rPr>
        <w:t>at Wyre Forest House</w:t>
      </w:r>
    </w:p>
    <w:p w:rsidR="00F771F3" w:rsidRPr="00F771F3" w:rsidRDefault="00501245" w:rsidP="00F771F3">
      <w:pPr>
        <w:pStyle w:val="BKnormal"/>
        <w:jc w:val="center"/>
        <w:rPr>
          <w:b/>
          <w:lang w:val="en-US"/>
        </w:rPr>
      </w:pPr>
      <w:r>
        <w:rPr>
          <w:b/>
          <w:lang w:val="en-US"/>
        </w:rPr>
        <w:t>Date:</w:t>
      </w:r>
    </w:p>
    <w:p w:rsidR="005C7C2A" w:rsidRPr="008676CF" w:rsidRDefault="005C7C2A">
      <w:pPr>
        <w:pBdr>
          <w:bottom w:val="single" w:sz="6" w:space="1" w:color="auto"/>
        </w:pBdr>
        <w:spacing w:line="120" w:lineRule="auto"/>
        <w:rPr>
          <w:b/>
        </w:rPr>
      </w:pPr>
    </w:p>
    <w:tbl>
      <w:tblPr>
        <w:tblW w:w="10207" w:type="dxa"/>
        <w:tblInd w:w="-318" w:type="dxa"/>
        <w:tblLayout w:type="fixed"/>
        <w:tblLook w:val="0000"/>
      </w:tblPr>
      <w:tblGrid>
        <w:gridCol w:w="3486"/>
        <w:gridCol w:w="6721"/>
      </w:tblGrid>
      <w:tr w:rsidR="005C7C2A" w:rsidRPr="008676CF" w:rsidTr="00011263">
        <w:tc>
          <w:tcPr>
            <w:tcW w:w="3486" w:type="dxa"/>
          </w:tcPr>
          <w:p w:rsidR="005C7C2A" w:rsidRPr="008676CF" w:rsidRDefault="00BF74D0">
            <w:pPr>
              <w:pStyle w:val="Heading4"/>
              <w:spacing w:after="0"/>
            </w:pPr>
            <w:r>
              <w:t>L</w:t>
            </w:r>
            <w:r w:rsidR="00D4235D">
              <w:t>andlord</w:t>
            </w:r>
          </w:p>
        </w:tc>
        <w:tc>
          <w:tcPr>
            <w:tcW w:w="6721" w:type="dxa"/>
          </w:tcPr>
          <w:p w:rsidR="00C23C7B" w:rsidRDefault="00153280" w:rsidP="00C23C7B">
            <w:r>
              <w:t>Wyre Forest District Council</w:t>
            </w:r>
          </w:p>
          <w:p w:rsidR="0009715F" w:rsidRDefault="00E131EF" w:rsidP="00C23C7B">
            <w:r>
              <w:t>Wyre Forest House</w:t>
            </w:r>
          </w:p>
          <w:p w:rsidR="00E131EF" w:rsidRDefault="00E131EF" w:rsidP="00C23C7B">
            <w:r>
              <w:t>Finepoint Way</w:t>
            </w:r>
          </w:p>
          <w:p w:rsidR="00E131EF" w:rsidRDefault="00E131EF" w:rsidP="00C23C7B">
            <w:r>
              <w:t>Kidderminster</w:t>
            </w:r>
          </w:p>
          <w:p w:rsidR="00E131EF" w:rsidRDefault="00E131EF" w:rsidP="00C23C7B">
            <w:r>
              <w:t>DY11 7WF</w:t>
            </w:r>
          </w:p>
          <w:p w:rsidR="00C23C7B" w:rsidRPr="008676CF" w:rsidRDefault="00C23C7B" w:rsidP="00593CD3"/>
        </w:tc>
      </w:tr>
      <w:tr w:rsidR="005C7C2A" w:rsidRPr="008676CF" w:rsidTr="00011263">
        <w:trPr>
          <w:trHeight w:val="2227"/>
        </w:trPr>
        <w:tc>
          <w:tcPr>
            <w:tcW w:w="3486" w:type="dxa"/>
          </w:tcPr>
          <w:p w:rsidR="005C7C2A" w:rsidRPr="008676CF" w:rsidRDefault="005C7C2A" w:rsidP="00D4235D">
            <w:pPr>
              <w:pStyle w:val="Heading4"/>
              <w:spacing w:after="0"/>
            </w:pPr>
            <w:r w:rsidRPr="008676CF">
              <w:rPr>
                <w:b w:val="0"/>
              </w:rPr>
              <w:br w:type="page"/>
            </w:r>
            <w:r w:rsidR="00BF74D0">
              <w:t>L</w:t>
            </w:r>
            <w:r w:rsidR="00D4235D">
              <w:t>andlord</w:t>
            </w:r>
            <w:r w:rsidR="00593CD3">
              <w:t>’s Solicitor</w:t>
            </w:r>
          </w:p>
        </w:tc>
        <w:tc>
          <w:tcPr>
            <w:tcW w:w="6721" w:type="dxa"/>
          </w:tcPr>
          <w:p w:rsidR="00575D69" w:rsidRDefault="00501245" w:rsidP="00575D69">
            <w:r>
              <w:t>Legal Services</w:t>
            </w:r>
          </w:p>
          <w:p w:rsidR="00575D69" w:rsidRDefault="00575D69" w:rsidP="00575D69">
            <w:r>
              <w:t>Wyre Forest District Council</w:t>
            </w:r>
          </w:p>
          <w:p w:rsidR="00E131EF" w:rsidRDefault="00E131EF" w:rsidP="00E131EF">
            <w:r>
              <w:t>Wyre Forest House</w:t>
            </w:r>
          </w:p>
          <w:p w:rsidR="00E131EF" w:rsidRDefault="00E131EF" w:rsidP="00E131EF">
            <w:r>
              <w:t>Finepoint Way</w:t>
            </w:r>
          </w:p>
          <w:p w:rsidR="00E131EF" w:rsidRDefault="00E131EF" w:rsidP="00E131EF">
            <w:r>
              <w:t>Kidderminster</w:t>
            </w:r>
          </w:p>
          <w:p w:rsidR="00E131EF" w:rsidRDefault="00E131EF" w:rsidP="00E131EF">
            <w:r>
              <w:t>DY11 7WF</w:t>
            </w:r>
          </w:p>
          <w:p w:rsidR="00575D69" w:rsidRPr="008676CF" w:rsidRDefault="00575D69" w:rsidP="00E131EF"/>
        </w:tc>
      </w:tr>
      <w:tr w:rsidR="005C7C2A" w:rsidRPr="008676CF" w:rsidTr="00011263">
        <w:tc>
          <w:tcPr>
            <w:tcW w:w="3486" w:type="dxa"/>
          </w:tcPr>
          <w:p w:rsidR="005C7C2A" w:rsidRPr="008676CF" w:rsidRDefault="005C7C2A">
            <w:pPr>
              <w:pStyle w:val="Heading4"/>
              <w:spacing w:after="0"/>
            </w:pPr>
            <w:r w:rsidRPr="008676CF">
              <w:rPr>
                <w:b w:val="0"/>
              </w:rPr>
              <w:br w:type="page"/>
            </w:r>
            <w:r w:rsidR="00D4235D">
              <w:t>Tenant</w:t>
            </w:r>
          </w:p>
        </w:tc>
        <w:tc>
          <w:tcPr>
            <w:tcW w:w="6721" w:type="dxa"/>
          </w:tcPr>
          <w:p w:rsidR="005951D9" w:rsidRDefault="00501245" w:rsidP="00D4235D">
            <w:r>
              <w:t>TBC</w:t>
            </w:r>
          </w:p>
          <w:p w:rsidR="00501245" w:rsidRDefault="00501245" w:rsidP="00D4235D"/>
          <w:p w:rsidR="00501245" w:rsidRDefault="00501245" w:rsidP="00D4235D"/>
          <w:p w:rsidR="003B1D59" w:rsidRDefault="003B1D59" w:rsidP="00501245">
            <w:pPr>
              <w:rPr>
                <w:szCs w:val="21"/>
              </w:rPr>
            </w:pPr>
          </w:p>
          <w:p w:rsidR="00501245" w:rsidRPr="0014015C" w:rsidRDefault="00501245" w:rsidP="00501245">
            <w:pPr>
              <w:rPr>
                <w:szCs w:val="21"/>
              </w:rPr>
            </w:pPr>
          </w:p>
        </w:tc>
      </w:tr>
      <w:tr w:rsidR="005C7C2A" w:rsidRPr="008676CF" w:rsidTr="00011263">
        <w:tc>
          <w:tcPr>
            <w:tcW w:w="3486" w:type="dxa"/>
          </w:tcPr>
          <w:p w:rsidR="005C7C2A" w:rsidRPr="008676CF" w:rsidRDefault="00D4235D">
            <w:pPr>
              <w:pStyle w:val="Heading4"/>
              <w:spacing w:after="0"/>
            </w:pPr>
            <w:r>
              <w:t>Tenant’s</w:t>
            </w:r>
            <w:r w:rsidR="00D52B1F">
              <w:t xml:space="preserve"> Solicitor</w:t>
            </w:r>
          </w:p>
        </w:tc>
        <w:tc>
          <w:tcPr>
            <w:tcW w:w="6721" w:type="dxa"/>
          </w:tcPr>
          <w:p w:rsidR="00865C5F" w:rsidRPr="0014015C" w:rsidRDefault="00501245" w:rsidP="00C66426">
            <w:pPr>
              <w:rPr>
                <w:szCs w:val="21"/>
              </w:rPr>
            </w:pPr>
            <w:r>
              <w:rPr>
                <w:szCs w:val="21"/>
              </w:rPr>
              <w:t>TBC</w:t>
            </w:r>
          </w:p>
          <w:p w:rsidR="00575D69" w:rsidRPr="0014015C" w:rsidRDefault="00575D69" w:rsidP="00C66426">
            <w:pPr>
              <w:spacing w:after="220"/>
              <w:jc w:val="both"/>
              <w:rPr>
                <w:szCs w:val="21"/>
              </w:rPr>
            </w:pPr>
          </w:p>
        </w:tc>
      </w:tr>
      <w:tr w:rsidR="00684AE5" w:rsidRPr="008676CF" w:rsidTr="00011263">
        <w:tc>
          <w:tcPr>
            <w:tcW w:w="3486" w:type="dxa"/>
          </w:tcPr>
          <w:p w:rsidR="00684AE5" w:rsidRPr="008676CF" w:rsidRDefault="00684AE5" w:rsidP="00684AE5">
            <w:pPr>
              <w:pStyle w:val="Heading4"/>
              <w:spacing w:after="0"/>
            </w:pPr>
            <w:r w:rsidRPr="008676CF">
              <w:t>Demise</w:t>
            </w:r>
          </w:p>
        </w:tc>
        <w:tc>
          <w:tcPr>
            <w:tcW w:w="6721" w:type="dxa"/>
          </w:tcPr>
          <w:p w:rsidR="0014015C" w:rsidRDefault="00501245" w:rsidP="0014015C">
            <w:r>
              <w:t xml:space="preserve">Cafe area, ground floor </w:t>
            </w:r>
            <w:r w:rsidR="0014015C">
              <w:t xml:space="preserve">(as </w:t>
            </w:r>
            <w:r>
              <w:t>per plan in expressions of interest proposal document)</w:t>
            </w:r>
          </w:p>
          <w:p w:rsidR="0014015C" w:rsidRDefault="0014015C" w:rsidP="0014015C">
            <w:r>
              <w:t>Wyre Forest House</w:t>
            </w:r>
          </w:p>
          <w:p w:rsidR="0014015C" w:rsidRDefault="0014015C" w:rsidP="0014015C">
            <w:r>
              <w:t>Finepoint Way</w:t>
            </w:r>
          </w:p>
          <w:p w:rsidR="0014015C" w:rsidRDefault="0014015C" w:rsidP="0014015C">
            <w:r>
              <w:t>Kidderminster</w:t>
            </w:r>
          </w:p>
          <w:p w:rsidR="0014015C" w:rsidRDefault="0014015C" w:rsidP="0014015C">
            <w:r>
              <w:t>DY11 7WF</w:t>
            </w:r>
          </w:p>
          <w:p w:rsidR="00684AE5" w:rsidRPr="008676CF" w:rsidRDefault="00684AE5" w:rsidP="0014015C"/>
        </w:tc>
      </w:tr>
      <w:tr w:rsidR="00A80B77" w:rsidRPr="008676CF" w:rsidTr="00011263">
        <w:tc>
          <w:tcPr>
            <w:tcW w:w="3486" w:type="dxa"/>
          </w:tcPr>
          <w:p w:rsidR="00A80B77" w:rsidRPr="008676CF" w:rsidRDefault="00A80B77" w:rsidP="0036660F">
            <w:pPr>
              <w:pStyle w:val="Heading4"/>
              <w:spacing w:after="0"/>
            </w:pPr>
            <w:r w:rsidRPr="008676CF">
              <w:t>Term</w:t>
            </w:r>
          </w:p>
        </w:tc>
        <w:tc>
          <w:tcPr>
            <w:tcW w:w="6721" w:type="dxa"/>
          </w:tcPr>
          <w:p w:rsidR="009F17C9" w:rsidRDefault="00501245" w:rsidP="00DD1C58">
            <w:pPr>
              <w:pStyle w:val="ListBullet"/>
              <w:numPr>
                <w:ilvl w:val="0"/>
                <w:numId w:val="0"/>
              </w:numPr>
              <w:spacing w:after="120"/>
            </w:pPr>
            <w:r>
              <w:t>5</w:t>
            </w:r>
            <w:r w:rsidR="00FB31E5">
              <w:t xml:space="preserve"> years from a date to be agreed</w:t>
            </w:r>
            <w:r w:rsidR="009F17C9">
              <w:t>.</w:t>
            </w:r>
          </w:p>
          <w:p w:rsidR="00DE58AE" w:rsidRDefault="00DE58AE" w:rsidP="009F17C9">
            <w:pPr>
              <w:pStyle w:val="ListBullet"/>
              <w:numPr>
                <w:ilvl w:val="0"/>
                <w:numId w:val="0"/>
              </w:numPr>
              <w:spacing w:after="120"/>
            </w:pPr>
          </w:p>
          <w:p w:rsidR="00E813B0" w:rsidRDefault="00E813B0" w:rsidP="009F17C9">
            <w:pPr>
              <w:pStyle w:val="ListBullet"/>
              <w:numPr>
                <w:ilvl w:val="0"/>
                <w:numId w:val="0"/>
              </w:numPr>
              <w:spacing w:after="120"/>
            </w:pPr>
          </w:p>
          <w:p w:rsidR="00E813B0" w:rsidRPr="00575D69" w:rsidRDefault="00E813B0" w:rsidP="009F17C9">
            <w:pPr>
              <w:pStyle w:val="ListBullet"/>
              <w:numPr>
                <w:ilvl w:val="0"/>
                <w:numId w:val="0"/>
              </w:numPr>
              <w:spacing w:after="120"/>
            </w:pPr>
          </w:p>
        </w:tc>
      </w:tr>
      <w:tr w:rsidR="00F85328" w:rsidRPr="008154D1" w:rsidTr="00011263">
        <w:tc>
          <w:tcPr>
            <w:tcW w:w="3486" w:type="dxa"/>
          </w:tcPr>
          <w:p w:rsidR="00F85328" w:rsidRPr="0078376E" w:rsidRDefault="00F85328" w:rsidP="0078376E">
            <w:pPr>
              <w:rPr>
                <w:b/>
              </w:rPr>
            </w:pPr>
          </w:p>
        </w:tc>
        <w:tc>
          <w:tcPr>
            <w:tcW w:w="6721" w:type="dxa"/>
          </w:tcPr>
          <w:p w:rsidR="005852F6" w:rsidRPr="008154D1" w:rsidRDefault="005852F6" w:rsidP="005852F6">
            <w:pPr>
              <w:pStyle w:val="ListBullet"/>
              <w:numPr>
                <w:ilvl w:val="0"/>
                <w:numId w:val="0"/>
              </w:numPr>
              <w:spacing w:after="120"/>
            </w:pPr>
          </w:p>
        </w:tc>
      </w:tr>
      <w:tr w:rsidR="0074645A" w:rsidRPr="008676CF" w:rsidTr="00011263">
        <w:tc>
          <w:tcPr>
            <w:tcW w:w="3486" w:type="dxa"/>
          </w:tcPr>
          <w:p w:rsidR="0074645A" w:rsidRDefault="00D4235D" w:rsidP="0036660F">
            <w:pPr>
              <w:pStyle w:val="Heading4"/>
              <w:spacing w:after="0"/>
            </w:pPr>
            <w:r>
              <w:lastRenderedPageBreak/>
              <w:t>Rent</w:t>
            </w:r>
          </w:p>
          <w:p w:rsidR="00710147" w:rsidRDefault="00710147" w:rsidP="00710147"/>
          <w:p w:rsidR="00710147" w:rsidRDefault="00710147" w:rsidP="00710147"/>
          <w:p w:rsidR="00710147" w:rsidRDefault="00710147" w:rsidP="00710147"/>
          <w:p w:rsidR="00710147" w:rsidRDefault="00710147" w:rsidP="00710147"/>
          <w:p w:rsidR="00710147" w:rsidRDefault="00710147" w:rsidP="00710147"/>
          <w:p w:rsidR="00710147" w:rsidRDefault="00710147" w:rsidP="00710147"/>
          <w:p w:rsidR="00710147" w:rsidRDefault="00710147" w:rsidP="00710147"/>
          <w:p w:rsidR="00710147" w:rsidRDefault="00710147" w:rsidP="00710147"/>
          <w:p w:rsidR="005B06DC" w:rsidRDefault="005B06DC" w:rsidP="00710147"/>
          <w:p w:rsidR="005B06DC" w:rsidRDefault="005B06DC" w:rsidP="00710147"/>
          <w:p w:rsidR="005B06DC" w:rsidRDefault="005B06DC" w:rsidP="00710147"/>
          <w:p w:rsidR="005B06DC" w:rsidRDefault="005B06DC" w:rsidP="00710147"/>
          <w:p w:rsidR="00EA2C3C" w:rsidRDefault="00EA2C3C" w:rsidP="00710147"/>
          <w:p w:rsidR="00EA2C3C" w:rsidRDefault="00EA2C3C" w:rsidP="00710147"/>
          <w:p w:rsidR="00EA2C3C" w:rsidRDefault="00EA2C3C" w:rsidP="00710147"/>
          <w:p w:rsidR="00EA2C3C" w:rsidRDefault="00EA2C3C" w:rsidP="00710147"/>
          <w:p w:rsidR="00EA2C3C" w:rsidRDefault="00EA2C3C" w:rsidP="00710147"/>
          <w:p w:rsidR="00EA2C3C" w:rsidRDefault="00EA2C3C" w:rsidP="00EA2C3C">
            <w:pPr>
              <w:rPr>
                <w:b/>
                <w:bCs/>
              </w:rPr>
            </w:pPr>
          </w:p>
          <w:p w:rsidR="00EA2C3C" w:rsidRDefault="00EA2C3C" w:rsidP="00EA2C3C">
            <w:pPr>
              <w:rPr>
                <w:b/>
                <w:bCs/>
              </w:rPr>
            </w:pPr>
          </w:p>
          <w:p w:rsidR="00E053D1" w:rsidRDefault="00E053D1" w:rsidP="00EA2C3C">
            <w:pPr>
              <w:rPr>
                <w:b/>
                <w:bCs/>
              </w:rPr>
            </w:pPr>
          </w:p>
          <w:p w:rsidR="00E053D1" w:rsidRDefault="00E053D1" w:rsidP="00EA2C3C">
            <w:pPr>
              <w:rPr>
                <w:b/>
                <w:bCs/>
              </w:rPr>
            </w:pPr>
          </w:p>
          <w:p w:rsidR="00E053D1" w:rsidRDefault="00E053D1"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874D62" w:rsidRDefault="00874D62" w:rsidP="00EA2C3C">
            <w:pPr>
              <w:rPr>
                <w:b/>
                <w:bCs/>
              </w:rPr>
            </w:pPr>
          </w:p>
          <w:p w:rsidR="00EA2C3C" w:rsidRPr="00710147" w:rsidRDefault="00EA2C3C" w:rsidP="005F6E93"/>
        </w:tc>
        <w:tc>
          <w:tcPr>
            <w:tcW w:w="6721" w:type="dxa"/>
          </w:tcPr>
          <w:p w:rsidR="001C4989" w:rsidRDefault="001C4989" w:rsidP="00874D62">
            <w:pPr>
              <w:pStyle w:val="BKnormal"/>
              <w:rPr>
                <w:bCs/>
                <w:color w:val="000000" w:themeColor="text1"/>
              </w:rPr>
            </w:pPr>
            <w:r>
              <w:rPr>
                <w:bCs/>
                <w:color w:val="000000" w:themeColor="text1"/>
              </w:rPr>
              <w:t>TBC</w:t>
            </w:r>
          </w:p>
          <w:p w:rsidR="00874D62" w:rsidRDefault="00D4235D" w:rsidP="00874D62">
            <w:pPr>
              <w:pStyle w:val="BKnormal"/>
              <w:rPr>
                <w:bCs/>
              </w:rPr>
            </w:pPr>
            <w:r>
              <w:rPr>
                <w:bCs/>
              </w:rPr>
              <w:t>Rent</w:t>
            </w:r>
            <w:r w:rsidR="00874D62">
              <w:rPr>
                <w:bCs/>
              </w:rPr>
              <w:t xml:space="preserve"> </w:t>
            </w:r>
            <w:r w:rsidR="005951D9">
              <w:rPr>
                <w:bCs/>
              </w:rPr>
              <w:t>i</w:t>
            </w:r>
            <w:r w:rsidR="00874D62">
              <w:rPr>
                <w:bCs/>
              </w:rPr>
              <w:t>ncludes:</w:t>
            </w:r>
          </w:p>
          <w:p w:rsidR="00062375" w:rsidRDefault="001C4989" w:rsidP="00062375">
            <w:pPr>
              <w:pStyle w:val="BKnormal"/>
              <w:numPr>
                <w:ilvl w:val="0"/>
                <w:numId w:val="21"/>
              </w:numPr>
              <w:rPr>
                <w:bCs/>
                <w:color w:val="000000" w:themeColor="text1"/>
              </w:rPr>
            </w:pPr>
            <w:r>
              <w:rPr>
                <w:bCs/>
                <w:color w:val="000000" w:themeColor="text1"/>
              </w:rPr>
              <w:t>Food preparation, storage, server counter, dining furniture</w:t>
            </w:r>
            <w:r w:rsidR="00062375">
              <w:rPr>
                <w:bCs/>
                <w:color w:val="000000" w:themeColor="text1"/>
              </w:rPr>
              <w:t>.</w:t>
            </w:r>
          </w:p>
          <w:p w:rsidR="00A736B0" w:rsidRPr="00A736B0" w:rsidRDefault="00A736B0" w:rsidP="00874D62">
            <w:pPr>
              <w:pStyle w:val="BKnormal"/>
              <w:numPr>
                <w:ilvl w:val="0"/>
                <w:numId w:val="21"/>
              </w:numPr>
              <w:rPr>
                <w:bCs/>
              </w:rPr>
            </w:pPr>
            <w:r>
              <w:rPr>
                <w:iCs/>
                <w:color w:val="000000"/>
              </w:rPr>
              <w:t xml:space="preserve">1 </w:t>
            </w:r>
            <w:proofErr w:type="spellStart"/>
            <w:r>
              <w:rPr>
                <w:iCs/>
                <w:color w:val="000000"/>
              </w:rPr>
              <w:t>Mitel</w:t>
            </w:r>
            <w:proofErr w:type="spellEnd"/>
            <w:r w:rsidRPr="003F6428">
              <w:rPr>
                <w:iCs/>
                <w:color w:val="000000"/>
              </w:rPr>
              <w:t xml:space="preserve"> phone to be provided for both internal and external purposes. Th</w:t>
            </w:r>
            <w:r>
              <w:rPr>
                <w:iCs/>
                <w:color w:val="000000"/>
              </w:rPr>
              <w:t>is provides a unique</w:t>
            </w:r>
            <w:r w:rsidRPr="003F6428">
              <w:rPr>
                <w:iCs/>
                <w:color w:val="000000"/>
              </w:rPr>
              <w:t xml:space="preserve"> direct dial number</w:t>
            </w:r>
            <w:r>
              <w:rPr>
                <w:iCs/>
                <w:color w:val="000000"/>
              </w:rPr>
              <w:t>.</w:t>
            </w:r>
            <w:r w:rsidRPr="003F6428">
              <w:rPr>
                <w:iCs/>
                <w:color w:val="000000"/>
              </w:rPr>
              <w:t>  The annual line rental for the one phone i</w:t>
            </w:r>
            <w:r>
              <w:rPr>
                <w:iCs/>
                <w:color w:val="000000"/>
              </w:rPr>
              <w:t xml:space="preserve">s included in the overall price.  </w:t>
            </w:r>
            <w:r w:rsidRPr="003F6428">
              <w:rPr>
                <w:iCs/>
                <w:color w:val="000000"/>
              </w:rPr>
              <w:t>Any external c</w:t>
            </w:r>
            <w:r w:rsidRPr="003F6428">
              <w:rPr>
                <w:iCs/>
              </w:rPr>
              <w:t xml:space="preserve">alls made </w:t>
            </w:r>
            <w:r>
              <w:rPr>
                <w:iCs/>
              </w:rPr>
              <w:t xml:space="preserve">would be </w:t>
            </w:r>
            <w:r w:rsidRPr="003F6428">
              <w:rPr>
                <w:iCs/>
              </w:rPr>
              <w:t>re-charged on a quarterly basis</w:t>
            </w:r>
            <w:r w:rsidRPr="003F6428">
              <w:rPr>
                <w:iCs/>
                <w:color w:val="000000"/>
              </w:rPr>
              <w:t xml:space="preserve">. If additional phones were required, </w:t>
            </w:r>
            <w:r>
              <w:rPr>
                <w:iCs/>
                <w:color w:val="000000"/>
              </w:rPr>
              <w:t>a</w:t>
            </w:r>
            <w:r w:rsidRPr="003F6428">
              <w:rPr>
                <w:iCs/>
                <w:color w:val="000000"/>
              </w:rPr>
              <w:t xml:space="preserve"> line rental cost of </w:t>
            </w:r>
            <w:r>
              <w:rPr>
                <w:iCs/>
                <w:color w:val="000000"/>
              </w:rPr>
              <w:t xml:space="preserve">£35 per annum </w:t>
            </w:r>
            <w:r w:rsidRPr="003F6428">
              <w:rPr>
                <w:iCs/>
                <w:color w:val="000000"/>
              </w:rPr>
              <w:t>per phone</w:t>
            </w:r>
            <w:r>
              <w:rPr>
                <w:iCs/>
                <w:color w:val="000000"/>
              </w:rPr>
              <w:t xml:space="preserve"> would apply</w:t>
            </w:r>
            <w:r>
              <w:rPr>
                <w:i/>
                <w:iCs/>
                <w:color w:val="000000"/>
              </w:rPr>
              <w:t>.</w:t>
            </w:r>
          </w:p>
          <w:p w:rsidR="004B325D" w:rsidRPr="004B325D" w:rsidRDefault="004B325D" w:rsidP="00874D62">
            <w:pPr>
              <w:pStyle w:val="BKnormal"/>
              <w:numPr>
                <w:ilvl w:val="0"/>
                <w:numId w:val="21"/>
              </w:numPr>
              <w:rPr>
                <w:bCs/>
              </w:rPr>
            </w:pPr>
            <w:r w:rsidRPr="004B325D">
              <w:rPr>
                <w:bCs/>
                <w:iCs/>
                <w:color w:val="000000"/>
              </w:rPr>
              <w:t>ICT Infrastructure:</w:t>
            </w:r>
            <w:r w:rsidRPr="004B325D">
              <w:rPr>
                <w:b/>
                <w:bCs/>
                <w:iCs/>
                <w:color w:val="000000"/>
              </w:rPr>
              <w:t xml:space="preserve"> </w:t>
            </w:r>
            <w:r w:rsidRPr="004B325D">
              <w:rPr>
                <w:iCs/>
                <w:color w:val="000000"/>
              </w:rPr>
              <w:t>use of internet line for connecting to internet, data, phone connectivity and use of wireless network. ICT Helpdesk support (for connectivity, telephone administration and internal room bookings system) and provision of 2</w:t>
            </w:r>
            <w:r w:rsidRPr="004B325D">
              <w:rPr>
                <w:b/>
                <w:bCs/>
                <w:iCs/>
                <w:color w:val="FF0000"/>
              </w:rPr>
              <w:t xml:space="preserve"> </w:t>
            </w:r>
            <w:r w:rsidRPr="004B325D">
              <w:rPr>
                <w:iCs/>
                <w:color w:val="000000"/>
              </w:rPr>
              <w:t xml:space="preserve">smartcards (access card for: staff car park, doors to Wyre Forest House, internal building security barriers and to operate multi functional devices) and accessories.   </w:t>
            </w:r>
          </w:p>
          <w:p w:rsidR="00874D62" w:rsidRPr="004B325D" w:rsidRDefault="00874D62" w:rsidP="00874D62">
            <w:pPr>
              <w:pStyle w:val="BKnormal"/>
              <w:numPr>
                <w:ilvl w:val="0"/>
                <w:numId w:val="21"/>
              </w:numPr>
              <w:rPr>
                <w:bCs/>
              </w:rPr>
            </w:pPr>
            <w:r w:rsidRPr="004B325D">
              <w:rPr>
                <w:bCs/>
              </w:rPr>
              <w:t xml:space="preserve">Use of Multi Functional Device subject to additional charges for printing and photocopying as detailed </w:t>
            </w:r>
            <w:r w:rsidR="00074144" w:rsidRPr="004B325D">
              <w:rPr>
                <w:bCs/>
              </w:rPr>
              <w:t>overleaf</w:t>
            </w:r>
            <w:r w:rsidRPr="004B325D">
              <w:rPr>
                <w:bCs/>
              </w:rPr>
              <w:t>.</w:t>
            </w:r>
          </w:p>
          <w:p w:rsidR="00874D62" w:rsidRDefault="00874D62" w:rsidP="00874D62">
            <w:pPr>
              <w:pStyle w:val="BKnormal"/>
              <w:numPr>
                <w:ilvl w:val="0"/>
                <w:numId w:val="21"/>
              </w:numPr>
              <w:rPr>
                <w:bCs/>
              </w:rPr>
            </w:pPr>
            <w:r>
              <w:rPr>
                <w:bCs/>
              </w:rPr>
              <w:t>Business rates.</w:t>
            </w:r>
          </w:p>
          <w:p w:rsidR="00874D62" w:rsidRDefault="00874D62" w:rsidP="00874D62">
            <w:pPr>
              <w:pStyle w:val="BKnormal"/>
              <w:numPr>
                <w:ilvl w:val="0"/>
                <w:numId w:val="21"/>
              </w:numPr>
              <w:rPr>
                <w:bCs/>
              </w:rPr>
            </w:pPr>
            <w:r>
              <w:rPr>
                <w:bCs/>
              </w:rPr>
              <w:t>Use of all communal areas and courtyard gardens.</w:t>
            </w:r>
          </w:p>
          <w:p w:rsidR="00874D62" w:rsidRPr="00CE4FC0" w:rsidRDefault="00874D62" w:rsidP="00874D62">
            <w:pPr>
              <w:pStyle w:val="BKnormal"/>
              <w:numPr>
                <w:ilvl w:val="0"/>
                <w:numId w:val="21"/>
              </w:numPr>
              <w:rPr>
                <w:bCs/>
              </w:rPr>
            </w:pPr>
            <w:r w:rsidRPr="00CE4FC0">
              <w:rPr>
                <w:bCs/>
              </w:rPr>
              <w:t>On site car parking (subject to availability</w:t>
            </w:r>
            <w:r>
              <w:rPr>
                <w:bCs/>
              </w:rPr>
              <w:t xml:space="preserve"> on a first come first served basis only – </w:t>
            </w:r>
            <w:r w:rsidR="001C4989">
              <w:rPr>
                <w:bCs/>
              </w:rPr>
              <w:t xml:space="preserve">tenant </w:t>
            </w:r>
            <w:r>
              <w:rPr>
                <w:bCs/>
              </w:rPr>
              <w:t xml:space="preserve">to be issued with </w:t>
            </w:r>
            <w:r w:rsidR="005A0824">
              <w:rPr>
                <w:bCs/>
              </w:rPr>
              <w:t xml:space="preserve">2 x  smart cards </w:t>
            </w:r>
            <w:r>
              <w:rPr>
                <w:bCs/>
              </w:rPr>
              <w:t>to provide access to s</w:t>
            </w:r>
            <w:r w:rsidRPr="00CE4FC0">
              <w:rPr>
                <w:bCs/>
              </w:rPr>
              <w:t>taff car park)</w:t>
            </w:r>
            <w:r>
              <w:rPr>
                <w:bCs/>
              </w:rPr>
              <w:t>.</w:t>
            </w:r>
          </w:p>
          <w:p w:rsidR="00874D62" w:rsidRPr="005A5BF7" w:rsidRDefault="00D4235D" w:rsidP="00874D62">
            <w:pPr>
              <w:pStyle w:val="BKnormal"/>
              <w:numPr>
                <w:ilvl w:val="0"/>
                <w:numId w:val="21"/>
              </w:numPr>
              <w:rPr>
                <w:bCs/>
              </w:rPr>
            </w:pPr>
            <w:r>
              <w:rPr>
                <w:bCs/>
              </w:rPr>
              <w:t>Rent</w:t>
            </w:r>
            <w:r w:rsidR="00874D62" w:rsidRPr="005A5BF7">
              <w:rPr>
                <w:bCs/>
              </w:rPr>
              <w:t xml:space="preserve"> is payable by equal quarterly instalments in advance by direct debit and is exclusive of VAT</w:t>
            </w:r>
            <w:r w:rsidR="00874D62">
              <w:rPr>
                <w:bCs/>
              </w:rPr>
              <w:t>.</w:t>
            </w:r>
          </w:p>
          <w:p w:rsidR="00237FB7" w:rsidRDefault="009B6145" w:rsidP="00951A91">
            <w:pPr>
              <w:pStyle w:val="BKnormal"/>
              <w:rPr>
                <w:b/>
                <w:bCs/>
              </w:rPr>
            </w:pPr>
            <w:r>
              <w:rPr>
                <w:b/>
                <w:bCs/>
              </w:rPr>
              <w:t>Telephone Charge:</w:t>
            </w:r>
          </w:p>
          <w:p w:rsidR="009B6145" w:rsidRDefault="009B6145" w:rsidP="00E813B0">
            <w:pPr>
              <w:pStyle w:val="BKnormal"/>
              <w:numPr>
                <w:ilvl w:val="0"/>
                <w:numId w:val="36"/>
              </w:numPr>
              <w:spacing w:line="240" w:lineRule="auto"/>
              <w:ind w:left="714" w:hanging="357"/>
              <w:rPr>
                <w:bCs/>
              </w:rPr>
            </w:pPr>
            <w:r>
              <w:rPr>
                <w:bCs/>
              </w:rPr>
              <w:t>Annual line rental to be charged at £35.00</w:t>
            </w:r>
            <w:r w:rsidR="00456AA2">
              <w:rPr>
                <w:bCs/>
              </w:rPr>
              <w:t xml:space="preserve"> per phone</w:t>
            </w:r>
            <w:r>
              <w:rPr>
                <w:bCs/>
              </w:rPr>
              <w:t xml:space="preserve"> per annum.</w:t>
            </w:r>
            <w:r w:rsidR="00456AA2">
              <w:rPr>
                <w:bCs/>
              </w:rPr>
              <w:t xml:space="preserve"> </w:t>
            </w:r>
          </w:p>
          <w:p w:rsidR="00AD0F32" w:rsidRPr="00E813B0" w:rsidRDefault="009B6145" w:rsidP="00E813B0">
            <w:pPr>
              <w:pStyle w:val="BKnormal"/>
              <w:numPr>
                <w:ilvl w:val="0"/>
                <w:numId w:val="36"/>
              </w:numPr>
              <w:spacing w:line="240" w:lineRule="auto"/>
              <w:ind w:left="714" w:hanging="357"/>
              <w:rPr>
                <w:bCs/>
              </w:rPr>
            </w:pPr>
            <w:r w:rsidRPr="009B6145">
              <w:rPr>
                <w:bCs/>
              </w:rPr>
              <w:t>External calls to be re-charged on a quarterly basis.</w:t>
            </w:r>
          </w:p>
        </w:tc>
      </w:tr>
      <w:tr w:rsidR="005F6E93" w:rsidRPr="008676CF" w:rsidTr="00011263">
        <w:tc>
          <w:tcPr>
            <w:tcW w:w="3486" w:type="dxa"/>
          </w:tcPr>
          <w:p w:rsidR="005F6E93" w:rsidRPr="005B06DC" w:rsidRDefault="005F6E93" w:rsidP="005F6E93">
            <w:pPr>
              <w:rPr>
                <w:b/>
                <w:bCs/>
              </w:rPr>
            </w:pPr>
            <w:r w:rsidRPr="005B06DC">
              <w:rPr>
                <w:b/>
                <w:bCs/>
              </w:rPr>
              <w:t>Additional costs</w:t>
            </w:r>
          </w:p>
          <w:p w:rsidR="005F6E93" w:rsidRDefault="005F6E93" w:rsidP="0036660F">
            <w:pPr>
              <w:pStyle w:val="Heading4"/>
              <w:spacing w:after="0"/>
            </w:pPr>
          </w:p>
        </w:tc>
        <w:tc>
          <w:tcPr>
            <w:tcW w:w="6721" w:type="dxa"/>
          </w:tcPr>
          <w:p w:rsidR="005F6E93" w:rsidRDefault="005F6E93" w:rsidP="005F6E93">
            <w:pPr>
              <w:pStyle w:val="BKnormal"/>
              <w:spacing w:after="0" w:line="240" w:lineRule="auto"/>
              <w:rPr>
                <w:bCs/>
              </w:rPr>
            </w:pPr>
            <w:r w:rsidRPr="00DC0875">
              <w:rPr>
                <w:b/>
                <w:bCs/>
              </w:rPr>
              <w:t>Printing and Photocopying Charges (inclusive of cost of paper)</w:t>
            </w:r>
            <w:r w:rsidRPr="00DC0875">
              <w:rPr>
                <w:bCs/>
              </w:rPr>
              <w:t xml:space="preserve"> – to be charged at the following rates:</w:t>
            </w:r>
          </w:p>
          <w:p w:rsidR="005F6E93" w:rsidRPr="00951A91" w:rsidRDefault="005F6E93" w:rsidP="005F6E93">
            <w:pPr>
              <w:pStyle w:val="BKnormal"/>
              <w:spacing w:after="0" w:line="240" w:lineRule="auto"/>
              <w:rPr>
                <w:bCs/>
              </w:rPr>
            </w:pPr>
          </w:p>
          <w:tbl>
            <w:tblPr>
              <w:tblW w:w="0" w:type="auto"/>
              <w:tblLayout w:type="fixed"/>
              <w:tblCellMar>
                <w:left w:w="0" w:type="dxa"/>
                <w:right w:w="0" w:type="dxa"/>
              </w:tblCellMar>
              <w:tblLook w:val="04A0"/>
            </w:tblPr>
            <w:tblGrid>
              <w:gridCol w:w="1948"/>
              <w:gridCol w:w="1948"/>
              <w:gridCol w:w="1948"/>
            </w:tblGrid>
            <w:tr w:rsidR="005F6E93" w:rsidTr="00FA5835">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F6E93" w:rsidRDefault="005F6E93" w:rsidP="00FA5835">
                  <w:pPr>
                    <w:pStyle w:val="BKnormal"/>
                  </w:pP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A4 (£)</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A3 (£)</w:t>
                  </w:r>
                </w:p>
              </w:tc>
            </w:tr>
            <w:tr w:rsidR="005F6E93" w:rsidTr="00FA5835">
              <w:tc>
                <w:tcPr>
                  <w:tcW w:w="1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Black &amp; White</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0.05</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5F6E93" w:rsidRDefault="005F6E93" w:rsidP="00FA5835">
                  <w:pPr>
                    <w:pStyle w:val="BKnormal"/>
                    <w:rPr>
                      <w:rFonts w:eastAsiaTheme="minorHAnsi" w:cs="Tahoma"/>
                    </w:rPr>
                  </w:pPr>
                  <w:r>
                    <w:t>0.08</w:t>
                  </w:r>
                </w:p>
                <w:p w:rsidR="005F6E93" w:rsidRDefault="005F6E93" w:rsidP="00FA5835">
                  <w:pPr>
                    <w:pStyle w:val="BKnormal"/>
                  </w:pPr>
                </w:p>
              </w:tc>
            </w:tr>
            <w:tr w:rsidR="005F6E93" w:rsidTr="00FA5835">
              <w:tc>
                <w:tcPr>
                  <w:tcW w:w="1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Colour</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0.10</w:t>
                  </w:r>
                </w:p>
              </w:tc>
              <w:tc>
                <w:tcPr>
                  <w:tcW w:w="1948" w:type="dxa"/>
                  <w:tcBorders>
                    <w:top w:val="nil"/>
                    <w:left w:val="nil"/>
                    <w:bottom w:val="single" w:sz="8" w:space="0" w:color="auto"/>
                    <w:right w:val="single" w:sz="8" w:space="0" w:color="auto"/>
                  </w:tcBorders>
                  <w:tcMar>
                    <w:top w:w="0" w:type="dxa"/>
                    <w:left w:w="108" w:type="dxa"/>
                    <w:bottom w:w="0" w:type="dxa"/>
                    <w:right w:w="108" w:type="dxa"/>
                  </w:tcMar>
                  <w:hideMark/>
                </w:tcPr>
                <w:p w:rsidR="005F6E93" w:rsidRDefault="005F6E93" w:rsidP="00FA5835">
                  <w:pPr>
                    <w:pStyle w:val="BKnormal"/>
                  </w:pPr>
                  <w:r>
                    <w:t>0.16</w:t>
                  </w:r>
                </w:p>
              </w:tc>
            </w:tr>
          </w:tbl>
          <w:p w:rsidR="004B325D" w:rsidRDefault="004B325D" w:rsidP="005F6E93">
            <w:pPr>
              <w:pStyle w:val="BKnormal"/>
              <w:rPr>
                <w:bCs/>
              </w:rPr>
            </w:pPr>
          </w:p>
          <w:p w:rsidR="005F6E93" w:rsidRDefault="005F6E93" w:rsidP="005F6E93">
            <w:pPr>
              <w:pStyle w:val="BKnormal"/>
              <w:rPr>
                <w:bCs/>
              </w:rPr>
            </w:pPr>
            <w:r w:rsidRPr="00E51CA3">
              <w:rPr>
                <w:bCs/>
              </w:rPr>
              <w:lastRenderedPageBreak/>
              <w:t>The</w:t>
            </w:r>
            <w:r>
              <w:rPr>
                <w:bCs/>
              </w:rPr>
              <w:t xml:space="preserve"> above</w:t>
            </w:r>
            <w:r w:rsidRPr="00E51CA3">
              <w:rPr>
                <w:bCs/>
              </w:rPr>
              <w:t xml:space="preserve"> charges are to be invoiced on a quarterly basis and reviewed annually.   </w:t>
            </w:r>
          </w:p>
          <w:p w:rsidR="005F6E93" w:rsidRDefault="005F6E93" w:rsidP="005F6E93">
            <w:pPr>
              <w:pStyle w:val="BKnormal"/>
              <w:rPr>
                <w:bCs/>
                <w:color w:val="000000" w:themeColor="text1"/>
              </w:rPr>
            </w:pPr>
            <w:r w:rsidRPr="00BC54FE">
              <w:rPr>
                <w:bCs/>
                <w:color w:val="000000" w:themeColor="text1"/>
              </w:rPr>
              <w:t>For high volume printing there is a Print Room</w:t>
            </w:r>
            <w:r>
              <w:rPr>
                <w:bCs/>
                <w:color w:val="000000" w:themeColor="text1"/>
              </w:rPr>
              <w:t xml:space="preserve">. We </w:t>
            </w:r>
            <w:r w:rsidRPr="00BC54FE">
              <w:rPr>
                <w:bCs/>
                <w:color w:val="000000" w:themeColor="text1"/>
              </w:rPr>
              <w:t>would be happy to quote for any work you require. Any printing undertaken by the print room would be recharged on a quarterly basis.</w:t>
            </w:r>
          </w:p>
        </w:tc>
      </w:tr>
      <w:tr w:rsidR="00D7057D" w:rsidRPr="008676CF" w:rsidTr="00011263">
        <w:tc>
          <w:tcPr>
            <w:tcW w:w="3486" w:type="dxa"/>
          </w:tcPr>
          <w:p w:rsidR="00D7057D" w:rsidRDefault="00D7057D" w:rsidP="00AC51EF">
            <w:pPr>
              <w:rPr>
                <w:b/>
              </w:rPr>
            </w:pPr>
            <w:r>
              <w:rPr>
                <w:b/>
              </w:rPr>
              <w:lastRenderedPageBreak/>
              <w:t>Use of Wi-Fi Services</w:t>
            </w:r>
          </w:p>
        </w:tc>
        <w:tc>
          <w:tcPr>
            <w:tcW w:w="6721" w:type="dxa"/>
          </w:tcPr>
          <w:p w:rsidR="005727F8" w:rsidRPr="00EC5E61" w:rsidRDefault="00D7057D" w:rsidP="00D4235D">
            <w:pPr>
              <w:spacing w:after="220"/>
              <w:jc w:val="both"/>
            </w:pPr>
            <w:r>
              <w:t xml:space="preserve">Use of Wi-Fi Services is </w:t>
            </w:r>
            <w:r w:rsidR="00393099">
              <w:t>subject to prior arrangement with the L</w:t>
            </w:r>
            <w:r w:rsidR="00D4235D">
              <w:t>andlord</w:t>
            </w:r>
            <w:r w:rsidR="00393099">
              <w:t xml:space="preserve"> and </w:t>
            </w:r>
            <w:r>
              <w:t>only in accordance with the Agreement for Use of Wi-Fi Services and Tenant Network.</w:t>
            </w:r>
          </w:p>
        </w:tc>
      </w:tr>
      <w:tr w:rsidR="0074645A" w:rsidRPr="008676CF" w:rsidTr="00011263">
        <w:tc>
          <w:tcPr>
            <w:tcW w:w="3486" w:type="dxa"/>
          </w:tcPr>
          <w:p w:rsidR="0074645A" w:rsidRPr="008676CF" w:rsidRDefault="0074645A" w:rsidP="00AC51EF">
            <w:pPr>
              <w:rPr>
                <w:b/>
              </w:rPr>
            </w:pPr>
            <w:r w:rsidRPr="008676CF">
              <w:rPr>
                <w:b/>
              </w:rPr>
              <w:t>Repair</w:t>
            </w:r>
          </w:p>
        </w:tc>
        <w:tc>
          <w:tcPr>
            <w:tcW w:w="6721" w:type="dxa"/>
          </w:tcPr>
          <w:p w:rsidR="00DE58AE" w:rsidRPr="005042D7" w:rsidRDefault="006C29C6" w:rsidP="00D4235D">
            <w:pPr>
              <w:spacing w:after="220"/>
              <w:jc w:val="both"/>
              <w:rPr>
                <w:rFonts w:ascii="Arial" w:hAnsi="Arial" w:cs="Arial"/>
              </w:rPr>
            </w:pPr>
            <w:r>
              <w:t xml:space="preserve">The </w:t>
            </w:r>
            <w:r w:rsidR="00D4235D">
              <w:t>Tenant</w:t>
            </w:r>
            <w:r>
              <w:t xml:space="preserve"> shall be liable for any damage to the premises, fixtures, fittings, furniture and any equipment or furniture provided.  No screws or nails shall be driven into walls, ceilings or floors of the premises, fixtures and fittings.</w:t>
            </w:r>
            <w:r w:rsidR="006C3702">
              <w:t xml:space="preserve">  </w:t>
            </w:r>
            <w:r w:rsidR="00E51F11">
              <w:t>Nothing is to be attached to the walls by way of</w:t>
            </w:r>
            <w:r w:rsidR="006C3702">
              <w:t xml:space="preserve"> blue tack, sellotape or pins</w:t>
            </w:r>
            <w:r w:rsidR="00DE58AE">
              <w:t xml:space="preserve"> or any other type of fixing.</w:t>
            </w:r>
            <w:r w:rsidR="00BF604D">
              <w:t xml:space="preserve"> </w:t>
            </w:r>
            <w:r w:rsidR="00BF604D">
              <w:rPr>
                <w:rFonts w:ascii="Arial" w:hAnsi="Arial" w:cs="Arial"/>
              </w:rPr>
              <w:t>At the end of the term the Tenant shall return the Premises in no worse condition than evidenced in a Schedule of Condition to be attached to the lease.</w:t>
            </w:r>
          </w:p>
        </w:tc>
      </w:tr>
      <w:tr w:rsidR="0074645A" w:rsidRPr="008676CF" w:rsidTr="00011263">
        <w:tc>
          <w:tcPr>
            <w:tcW w:w="3486" w:type="dxa"/>
          </w:tcPr>
          <w:p w:rsidR="0074645A" w:rsidRPr="008676CF" w:rsidRDefault="0074645A" w:rsidP="00785EEB">
            <w:pPr>
              <w:rPr>
                <w:b/>
              </w:rPr>
            </w:pPr>
            <w:r w:rsidRPr="008676CF">
              <w:rPr>
                <w:b/>
              </w:rPr>
              <w:t>VAT</w:t>
            </w:r>
          </w:p>
        </w:tc>
        <w:tc>
          <w:tcPr>
            <w:tcW w:w="6721" w:type="dxa"/>
          </w:tcPr>
          <w:p w:rsidR="0074645A" w:rsidRPr="008676CF" w:rsidRDefault="0074645A" w:rsidP="00785EEB">
            <w:pPr>
              <w:spacing w:after="220"/>
              <w:jc w:val="both"/>
            </w:pPr>
            <w:r>
              <w:t>All prices quoted are exclusive of VAT</w:t>
            </w:r>
            <w:r w:rsidR="006C29C6">
              <w:t>.</w:t>
            </w:r>
          </w:p>
        </w:tc>
      </w:tr>
      <w:tr w:rsidR="0074645A" w:rsidRPr="008676CF" w:rsidTr="00011263">
        <w:trPr>
          <w:trHeight w:val="975"/>
        </w:trPr>
        <w:tc>
          <w:tcPr>
            <w:tcW w:w="3486" w:type="dxa"/>
          </w:tcPr>
          <w:p w:rsidR="0074645A" w:rsidRPr="008676CF" w:rsidRDefault="0074645A">
            <w:pPr>
              <w:rPr>
                <w:b/>
              </w:rPr>
            </w:pPr>
            <w:r>
              <w:rPr>
                <w:b/>
              </w:rPr>
              <w:t>Assign</w:t>
            </w:r>
            <w:r w:rsidR="007A69FD">
              <w:rPr>
                <w:b/>
              </w:rPr>
              <w:t>ment / Subletting</w:t>
            </w:r>
          </w:p>
        </w:tc>
        <w:tc>
          <w:tcPr>
            <w:tcW w:w="6721" w:type="dxa"/>
          </w:tcPr>
          <w:p w:rsidR="0074645A" w:rsidRDefault="0074645A" w:rsidP="00D4235D">
            <w:pPr>
              <w:pStyle w:val="BKnormal"/>
            </w:pPr>
            <w:r>
              <w:t xml:space="preserve">The </w:t>
            </w:r>
            <w:r w:rsidR="00D4235D">
              <w:t xml:space="preserve">Tenant </w:t>
            </w:r>
            <w:r>
              <w:t xml:space="preserve">will not be permitted to assign or sublet the accommodation </w:t>
            </w:r>
            <w:r w:rsidR="001E132F">
              <w:t>throughout the term of the licence</w:t>
            </w:r>
            <w:r w:rsidR="007A69FD">
              <w:t>.</w:t>
            </w:r>
          </w:p>
        </w:tc>
      </w:tr>
      <w:tr w:rsidR="0074645A" w:rsidRPr="008676CF" w:rsidTr="00011263">
        <w:trPr>
          <w:trHeight w:val="338"/>
        </w:trPr>
        <w:tc>
          <w:tcPr>
            <w:tcW w:w="3486" w:type="dxa"/>
          </w:tcPr>
          <w:p w:rsidR="0074645A" w:rsidRPr="008676CF" w:rsidRDefault="0074645A">
            <w:pPr>
              <w:rPr>
                <w:b/>
              </w:rPr>
            </w:pPr>
            <w:r w:rsidRPr="008676CF">
              <w:rPr>
                <w:b/>
              </w:rPr>
              <w:t>Alterations</w:t>
            </w:r>
          </w:p>
        </w:tc>
        <w:tc>
          <w:tcPr>
            <w:tcW w:w="6721" w:type="dxa"/>
          </w:tcPr>
          <w:p w:rsidR="0074645A" w:rsidRPr="008676CF" w:rsidRDefault="006B0769" w:rsidP="00D4235D">
            <w:pPr>
              <w:pStyle w:val="BKnormal"/>
            </w:pPr>
            <w:r>
              <w:t xml:space="preserve">The </w:t>
            </w:r>
            <w:r w:rsidR="00D4235D">
              <w:t>Tenant</w:t>
            </w:r>
            <w:r w:rsidR="0074645A">
              <w:t xml:space="preserve"> is n</w:t>
            </w:r>
            <w:r w:rsidR="0074645A" w:rsidRPr="008676CF">
              <w:t xml:space="preserve">ot to carry out any </w:t>
            </w:r>
            <w:r w:rsidR="0074645A">
              <w:t xml:space="preserve">alterations whatsoever.  </w:t>
            </w:r>
          </w:p>
        </w:tc>
      </w:tr>
      <w:tr w:rsidR="00423A76" w:rsidRPr="008676CF" w:rsidTr="00011263">
        <w:tc>
          <w:tcPr>
            <w:tcW w:w="3486" w:type="dxa"/>
          </w:tcPr>
          <w:p w:rsidR="00423A76" w:rsidRPr="008676CF" w:rsidRDefault="00423A76" w:rsidP="00924D98">
            <w:pPr>
              <w:rPr>
                <w:b/>
              </w:rPr>
            </w:pPr>
            <w:r>
              <w:rPr>
                <w:b/>
              </w:rPr>
              <w:t>Security of Tenure</w:t>
            </w:r>
          </w:p>
        </w:tc>
        <w:tc>
          <w:tcPr>
            <w:tcW w:w="6721" w:type="dxa"/>
          </w:tcPr>
          <w:p w:rsidR="00423A76" w:rsidRPr="008676CF" w:rsidRDefault="00423A76" w:rsidP="00924D98">
            <w:pPr>
              <w:pStyle w:val="ListBullet"/>
              <w:numPr>
                <w:ilvl w:val="0"/>
                <w:numId w:val="0"/>
              </w:numPr>
              <w:spacing w:after="120"/>
            </w:pPr>
            <w:r>
              <w:t xml:space="preserve">The Lease is to be excluded from the security of tenure provisions set out in Sections 24 – 28 of the Landlord and Tenant Act 1954 (Part II). </w:t>
            </w:r>
          </w:p>
        </w:tc>
      </w:tr>
      <w:tr w:rsidR="00FA5835" w:rsidRPr="008676CF" w:rsidTr="00011263">
        <w:tc>
          <w:tcPr>
            <w:tcW w:w="3486" w:type="dxa"/>
          </w:tcPr>
          <w:p w:rsidR="00FA5835" w:rsidRDefault="00FA5835" w:rsidP="00924D98">
            <w:pPr>
              <w:rPr>
                <w:b/>
              </w:rPr>
            </w:pPr>
            <w:r w:rsidRPr="00FA5835">
              <w:rPr>
                <w:b/>
              </w:rPr>
              <w:t>Insurance</w:t>
            </w:r>
          </w:p>
        </w:tc>
        <w:tc>
          <w:tcPr>
            <w:tcW w:w="6721" w:type="dxa"/>
          </w:tcPr>
          <w:p w:rsidR="00FA5835" w:rsidRDefault="00FA5835" w:rsidP="00FA5835">
            <w:pPr>
              <w:pStyle w:val="ListBullet"/>
              <w:numPr>
                <w:ilvl w:val="0"/>
                <w:numId w:val="0"/>
              </w:numPr>
              <w:spacing w:after="120"/>
              <w:rPr>
                <w:rFonts w:eastAsia="SimSun"/>
                <w:lang w:eastAsia="zh-CN"/>
              </w:rPr>
            </w:pPr>
            <w:r>
              <w:rPr>
                <w:rFonts w:eastAsia="SimSun"/>
                <w:lang w:eastAsia="zh-CN"/>
              </w:rPr>
              <w:t>The Landlord</w:t>
            </w:r>
            <w:r w:rsidRPr="00774990">
              <w:rPr>
                <w:rFonts w:eastAsia="SimSun"/>
                <w:lang w:eastAsia="zh-CN"/>
              </w:rPr>
              <w:t xml:space="preserve"> shall insure </w:t>
            </w:r>
            <w:r>
              <w:rPr>
                <w:rFonts w:eastAsia="SimSun"/>
                <w:lang w:eastAsia="zh-CN"/>
              </w:rPr>
              <w:t xml:space="preserve">the Premises and the Landlord’s </w:t>
            </w:r>
            <w:r w:rsidRPr="00774990">
              <w:rPr>
                <w:rFonts w:eastAsia="SimSun"/>
                <w:lang w:eastAsia="zh-CN"/>
              </w:rPr>
              <w:t>fixtures and fittings</w:t>
            </w:r>
            <w:r w:rsidRPr="001A4E02">
              <w:rPr>
                <w:rFonts w:eastAsia="SimSun"/>
                <w:lang w:eastAsia="zh-CN"/>
              </w:rPr>
              <w:t xml:space="preserve"> therein against loss or damage by fire, explosion, lightening, aircraft and other contingencies (u</w:t>
            </w:r>
            <w:r>
              <w:rPr>
                <w:rFonts w:eastAsia="SimSun"/>
                <w:lang w:eastAsia="zh-CN"/>
              </w:rPr>
              <w:t>nder the terms of the Landlord’s</w:t>
            </w:r>
            <w:r w:rsidRPr="001A4E02">
              <w:rPr>
                <w:rFonts w:eastAsia="SimSun"/>
                <w:lang w:eastAsia="zh-CN"/>
              </w:rPr>
              <w:t xml:space="preserve"> blanket policy)</w:t>
            </w:r>
            <w:r>
              <w:rPr>
                <w:rFonts w:eastAsia="SimSun"/>
                <w:lang w:eastAsia="zh-CN"/>
              </w:rPr>
              <w:t>.  The Tenant</w:t>
            </w:r>
            <w:r w:rsidRPr="001A4E02">
              <w:rPr>
                <w:rFonts w:eastAsia="SimSun"/>
                <w:lang w:eastAsia="zh-CN"/>
              </w:rPr>
              <w:t xml:space="preserve"> will obtain and be r</w:t>
            </w:r>
            <w:r>
              <w:rPr>
                <w:rFonts w:eastAsia="SimSun"/>
                <w:lang w:eastAsia="zh-CN"/>
              </w:rPr>
              <w:t xml:space="preserve">esponsible for all premiums for </w:t>
            </w:r>
            <w:r w:rsidRPr="001A4E02">
              <w:rPr>
                <w:rFonts w:eastAsia="SimSun"/>
                <w:lang w:eastAsia="zh-CN"/>
              </w:rPr>
              <w:t xml:space="preserve">the comprehensive insurance of all </w:t>
            </w:r>
            <w:r>
              <w:rPr>
                <w:rFonts w:eastAsia="SimSun"/>
                <w:lang w:eastAsia="zh-CN"/>
              </w:rPr>
              <w:t>Tenant’s</w:t>
            </w:r>
            <w:r w:rsidRPr="001A4E02">
              <w:rPr>
                <w:rFonts w:eastAsia="SimSun"/>
                <w:lang w:eastAsia="zh-CN"/>
              </w:rPr>
              <w:t xml:space="preserve"> contents</w:t>
            </w:r>
            <w:r>
              <w:rPr>
                <w:rFonts w:eastAsia="SimSun"/>
                <w:lang w:eastAsia="zh-CN"/>
              </w:rPr>
              <w:t>,</w:t>
            </w:r>
            <w:r w:rsidRPr="001A4E02">
              <w:rPr>
                <w:rFonts w:eastAsia="SimSun"/>
                <w:lang w:eastAsia="zh-CN"/>
              </w:rPr>
              <w:t xml:space="preserve"> employees and visitor's liability </w:t>
            </w:r>
            <w:r>
              <w:rPr>
                <w:rFonts w:eastAsia="SimSun"/>
                <w:lang w:eastAsia="zh-CN"/>
              </w:rPr>
              <w:t xml:space="preserve">(and will be asked to provide evidence of Public Liability insurance in the sum of £5million) </w:t>
            </w:r>
            <w:r w:rsidRPr="001A4E02">
              <w:rPr>
                <w:rFonts w:eastAsia="SimSun"/>
                <w:lang w:eastAsia="zh-CN"/>
              </w:rPr>
              <w:t xml:space="preserve">and all other appropriate risks that are not covered by the </w:t>
            </w:r>
            <w:r>
              <w:rPr>
                <w:rFonts w:eastAsia="SimSun"/>
                <w:lang w:eastAsia="zh-CN"/>
              </w:rPr>
              <w:t>Landlord</w:t>
            </w:r>
            <w:r w:rsidRPr="001A4E02">
              <w:rPr>
                <w:rFonts w:eastAsia="SimSun"/>
                <w:lang w:eastAsia="zh-CN"/>
              </w:rPr>
              <w:t>'s policy. </w:t>
            </w:r>
          </w:p>
          <w:p w:rsidR="00FA5835" w:rsidRDefault="00FA5835" w:rsidP="00FA5835">
            <w:pPr>
              <w:pStyle w:val="ListBullet"/>
              <w:numPr>
                <w:ilvl w:val="0"/>
                <w:numId w:val="0"/>
              </w:numPr>
              <w:spacing w:after="120"/>
              <w:rPr>
                <w:rFonts w:eastAsia="SimSun"/>
                <w:lang w:eastAsia="zh-CN"/>
              </w:rPr>
            </w:pPr>
            <w:r>
              <w:rPr>
                <w:rFonts w:eastAsia="SimSun"/>
                <w:lang w:eastAsia="zh-CN"/>
              </w:rPr>
              <w:t xml:space="preserve">The Landlord and its servants or agents will not be held responsible for any damage of loss of goods, property, equipment or for personal injury (except in the case of negligence by the Landlord) on the Landlord’s premises or land, howsoever caused.  </w:t>
            </w:r>
          </w:p>
          <w:p w:rsidR="00754082" w:rsidRDefault="00754082" w:rsidP="00FA5835">
            <w:pPr>
              <w:pStyle w:val="ListBullet"/>
              <w:numPr>
                <w:ilvl w:val="0"/>
                <w:numId w:val="0"/>
              </w:numPr>
              <w:spacing w:after="120"/>
              <w:rPr>
                <w:rFonts w:eastAsia="SimSun"/>
                <w:lang w:eastAsia="zh-CN"/>
              </w:rPr>
            </w:pPr>
            <w:r>
              <w:rPr>
                <w:rFonts w:eastAsia="SimSun"/>
                <w:lang w:eastAsia="zh-CN"/>
              </w:rPr>
              <w:t xml:space="preserve">The tenant shall indemnify the Landlord, its servants or agents against any claims which may be made in respect thereof.  Any accident must be reported to the Landlord as soon as possible after its occurrence. </w:t>
            </w:r>
          </w:p>
          <w:p w:rsidR="00754082" w:rsidRDefault="00754082" w:rsidP="00FA5835">
            <w:pPr>
              <w:pStyle w:val="ListBullet"/>
              <w:numPr>
                <w:ilvl w:val="0"/>
                <w:numId w:val="0"/>
              </w:numPr>
              <w:spacing w:after="120"/>
              <w:rPr>
                <w:rFonts w:eastAsia="SimSun"/>
                <w:lang w:eastAsia="zh-CN"/>
              </w:rPr>
            </w:pPr>
            <w:r>
              <w:rPr>
                <w:rFonts w:eastAsia="SimSun"/>
                <w:lang w:eastAsia="zh-CN"/>
              </w:rPr>
              <w:t>The Tenant will be responsible for provision of its own first aid.</w:t>
            </w:r>
          </w:p>
          <w:p w:rsidR="00754082" w:rsidRPr="00754082" w:rsidRDefault="00754082" w:rsidP="004E0192">
            <w:pPr>
              <w:pStyle w:val="ListBullet"/>
              <w:numPr>
                <w:ilvl w:val="0"/>
                <w:numId w:val="0"/>
              </w:numPr>
              <w:spacing w:after="120"/>
              <w:rPr>
                <w:rFonts w:eastAsia="SimSun"/>
                <w:lang w:eastAsia="zh-CN"/>
              </w:rPr>
            </w:pPr>
            <w:r>
              <w:rPr>
                <w:rFonts w:eastAsia="SimSun"/>
                <w:lang w:eastAsia="zh-CN"/>
              </w:rPr>
              <w:t xml:space="preserve">It is a condition of the Landlord’s insurance policy that all electrical equipment must have an up-to-date PA Test Certificate and the </w:t>
            </w:r>
            <w:r>
              <w:rPr>
                <w:rFonts w:eastAsia="SimSun"/>
                <w:lang w:eastAsia="zh-CN"/>
              </w:rPr>
              <w:lastRenderedPageBreak/>
              <w:t>Tenant may be required to provide evidence of this in respect of all electrical equipment brought onto site.</w:t>
            </w:r>
          </w:p>
        </w:tc>
      </w:tr>
      <w:tr w:rsidR="00FA5835" w:rsidRPr="008676CF" w:rsidTr="00011263">
        <w:tc>
          <w:tcPr>
            <w:tcW w:w="3486" w:type="dxa"/>
          </w:tcPr>
          <w:p w:rsidR="00FA5835" w:rsidRDefault="00FA5835" w:rsidP="00FA5835">
            <w:pPr>
              <w:rPr>
                <w:b/>
              </w:rPr>
            </w:pPr>
            <w:r>
              <w:rPr>
                <w:b/>
              </w:rPr>
              <w:lastRenderedPageBreak/>
              <w:t>Access and Housekeeping</w:t>
            </w:r>
          </w:p>
          <w:p w:rsidR="00FA5835" w:rsidRPr="008676CF" w:rsidRDefault="00FA5835" w:rsidP="00FA5835">
            <w:pPr>
              <w:rPr>
                <w:b/>
              </w:rPr>
            </w:pPr>
          </w:p>
        </w:tc>
        <w:tc>
          <w:tcPr>
            <w:tcW w:w="6721" w:type="dxa"/>
          </w:tcPr>
          <w:p w:rsidR="006C5075" w:rsidRDefault="006C5075" w:rsidP="006C5075">
            <w:pPr>
              <w:pStyle w:val="ListBullet"/>
              <w:numPr>
                <w:ilvl w:val="0"/>
                <w:numId w:val="0"/>
              </w:numPr>
              <w:spacing w:after="120"/>
            </w:pPr>
            <w:r>
              <w:t>The Tenant will be able to access Wyre Forest House</w:t>
            </w:r>
            <w:r w:rsidR="00475C6B">
              <w:t xml:space="preserve"> between the hours of 7.00 am. a</w:t>
            </w:r>
            <w:r>
              <w:t>nd 7.30 pm. On weekdays only.  The building is locked at 8.00 pm.  There is no access at weekends.</w:t>
            </w:r>
          </w:p>
          <w:p w:rsidR="00FA5835" w:rsidRDefault="00FA5835" w:rsidP="00754082">
            <w:pPr>
              <w:pStyle w:val="ListBullet"/>
              <w:numPr>
                <w:ilvl w:val="0"/>
                <w:numId w:val="0"/>
              </w:numPr>
              <w:spacing w:after="120"/>
            </w:pPr>
            <w:r>
              <w:t>The building is not open for Bank Holidays and is closed for the Christmas and New Year period. Shut down dates can be provided.</w:t>
            </w:r>
          </w:p>
          <w:p w:rsidR="00FA5835" w:rsidRDefault="00FA5835" w:rsidP="00754082">
            <w:pPr>
              <w:pStyle w:val="ListBullet"/>
              <w:numPr>
                <w:ilvl w:val="0"/>
                <w:numId w:val="0"/>
              </w:numPr>
              <w:spacing w:after="120"/>
            </w:pPr>
            <w:r>
              <w:t>Reception is staffed between the hours of 9.00 am and 5.00 pm weekdays only.</w:t>
            </w:r>
          </w:p>
          <w:p w:rsidR="00FA5835" w:rsidRDefault="00FA5835" w:rsidP="00FA5835">
            <w:pPr>
              <w:pStyle w:val="ListBullet"/>
              <w:numPr>
                <w:ilvl w:val="0"/>
                <w:numId w:val="0"/>
              </w:numPr>
              <w:spacing w:after="120"/>
            </w:pPr>
            <w:r>
              <w:t xml:space="preserve">No smoking is allowed in any part of the building or on site.  </w:t>
            </w:r>
          </w:p>
          <w:p w:rsidR="00FA5835" w:rsidRPr="008676CF" w:rsidRDefault="00FA5835" w:rsidP="00FA5835">
            <w:pPr>
              <w:pStyle w:val="ListBullet"/>
              <w:numPr>
                <w:ilvl w:val="0"/>
                <w:numId w:val="0"/>
              </w:numPr>
              <w:spacing w:after="120"/>
            </w:pPr>
            <w:r>
              <w:t>The Tenant shall ensure that there is no interference whatsoever during the tenancy with fire extinguishers or any other fire fighting equipment except in the case of an emergency.  The Tenant must not interfere with fire doors and doors fitted with automatic closures.  The Tenant shall keep every corridor, passage and exit of the premises clear of obstruction and ready for use in an emergency.  The tenant must be familiar with and adhere to the Landlord’s Fire Evacuation Procedure for the building and be aware that the Landlord will test the fire alarms at 10.00 am each Thursday morning.</w:t>
            </w:r>
          </w:p>
        </w:tc>
      </w:tr>
      <w:tr w:rsidR="00FA5835" w:rsidRPr="008676CF" w:rsidTr="00011263">
        <w:tc>
          <w:tcPr>
            <w:tcW w:w="3486" w:type="dxa"/>
          </w:tcPr>
          <w:p w:rsidR="00FA5835" w:rsidRDefault="00FA5835" w:rsidP="00FA5835">
            <w:pPr>
              <w:rPr>
                <w:b/>
              </w:rPr>
            </w:pPr>
            <w:r>
              <w:rPr>
                <w:b/>
              </w:rPr>
              <w:t>Business Continuity</w:t>
            </w:r>
          </w:p>
        </w:tc>
        <w:tc>
          <w:tcPr>
            <w:tcW w:w="6721" w:type="dxa"/>
          </w:tcPr>
          <w:p w:rsidR="00FA5835" w:rsidRDefault="00FA5835" w:rsidP="00FA5835">
            <w:pPr>
              <w:pStyle w:val="ListBullet"/>
              <w:numPr>
                <w:ilvl w:val="0"/>
                <w:numId w:val="0"/>
              </w:numPr>
              <w:spacing w:after="120"/>
            </w:pPr>
            <w:r>
              <w:t>If for any reason the whole building cannot be used due to a major incident (e.g. fire), the Tenant will be required to find alternative accommodation at their own cost.</w:t>
            </w:r>
          </w:p>
        </w:tc>
      </w:tr>
      <w:tr w:rsidR="00FA5835" w:rsidRPr="008676CF" w:rsidTr="00011263">
        <w:tc>
          <w:tcPr>
            <w:tcW w:w="3486" w:type="dxa"/>
          </w:tcPr>
          <w:p w:rsidR="00FA5835" w:rsidRPr="008676CF" w:rsidRDefault="00FA5835" w:rsidP="00FA5835">
            <w:pPr>
              <w:rPr>
                <w:b/>
              </w:rPr>
            </w:pPr>
            <w:r>
              <w:rPr>
                <w:b/>
              </w:rPr>
              <w:t>Car park</w:t>
            </w:r>
          </w:p>
        </w:tc>
        <w:tc>
          <w:tcPr>
            <w:tcW w:w="6721" w:type="dxa"/>
          </w:tcPr>
          <w:p w:rsidR="00FA5835" w:rsidRDefault="00FA5835" w:rsidP="00FA5835">
            <w:pPr>
              <w:pStyle w:val="ListBullet"/>
              <w:numPr>
                <w:ilvl w:val="0"/>
                <w:numId w:val="0"/>
              </w:numPr>
              <w:spacing w:after="120"/>
            </w:pPr>
            <w:r w:rsidRPr="003B4E64">
              <w:t>The Tenant will be issued with 2 Smartcards which allow access to the Staff car park.  Spaces are available on a ‘first come first served’ basis. All visitors are to use the Visitors car park.  All vehicles and property are left in the car park entirely at the owner’s risk and the Landlord will not accept responsibility for any loss or damage however caused except where arising from the Landlord’s negligence.  The Tenant shall ensure that all vehicles</w:t>
            </w:r>
            <w:r>
              <w:t xml:space="preserve"> are parked so that no exit or carriageway is obstructed.</w:t>
            </w:r>
          </w:p>
        </w:tc>
      </w:tr>
      <w:tr w:rsidR="00FA5835" w:rsidRPr="008676CF" w:rsidTr="00011263">
        <w:tc>
          <w:tcPr>
            <w:tcW w:w="3486" w:type="dxa"/>
          </w:tcPr>
          <w:p w:rsidR="00FA5835" w:rsidRPr="008676CF" w:rsidRDefault="00FA5835" w:rsidP="00FA5835">
            <w:pPr>
              <w:rPr>
                <w:b/>
              </w:rPr>
            </w:pPr>
            <w:r>
              <w:rPr>
                <w:b/>
              </w:rPr>
              <w:t>Documentation Costs</w:t>
            </w:r>
          </w:p>
        </w:tc>
        <w:tc>
          <w:tcPr>
            <w:tcW w:w="6721" w:type="dxa"/>
          </w:tcPr>
          <w:p w:rsidR="00FA5835" w:rsidRPr="00074EB3" w:rsidRDefault="00FA5835" w:rsidP="00FA5835">
            <w:pPr>
              <w:pStyle w:val="ListBullet"/>
              <w:numPr>
                <w:ilvl w:val="0"/>
                <w:numId w:val="0"/>
              </w:numPr>
              <w:spacing w:after="120"/>
            </w:pPr>
            <w:r w:rsidRPr="00074EB3">
              <w:t>The Tenant will be required to pay the Landlord’s Legal costs of £</w:t>
            </w:r>
            <w:r>
              <w:t>450.00</w:t>
            </w:r>
            <w:r w:rsidRPr="00074EB3">
              <w:t xml:space="preserve"> plus VAT </w:t>
            </w:r>
            <w:r>
              <w:t xml:space="preserve">and surveyor’s costs of £150.00 plus VAT </w:t>
            </w:r>
            <w:r w:rsidRPr="00074EB3">
              <w:t>in preparing the lease documentation.</w:t>
            </w:r>
          </w:p>
        </w:tc>
      </w:tr>
      <w:tr w:rsidR="00FA5835" w:rsidRPr="008676CF" w:rsidTr="00011263">
        <w:tc>
          <w:tcPr>
            <w:tcW w:w="3486" w:type="dxa"/>
          </w:tcPr>
          <w:p w:rsidR="00FA5835" w:rsidRPr="008676CF" w:rsidRDefault="00FA5835" w:rsidP="00FA5835">
            <w:pPr>
              <w:rPr>
                <w:b/>
              </w:rPr>
            </w:pPr>
            <w:r w:rsidRPr="008676CF">
              <w:rPr>
                <w:b/>
              </w:rPr>
              <w:t>Timescale</w:t>
            </w:r>
          </w:p>
        </w:tc>
        <w:tc>
          <w:tcPr>
            <w:tcW w:w="6721" w:type="dxa"/>
          </w:tcPr>
          <w:p w:rsidR="00FA5835" w:rsidRDefault="00FA5835" w:rsidP="00FA5835">
            <w:pPr>
              <w:pStyle w:val="ListBullet"/>
              <w:numPr>
                <w:ilvl w:val="0"/>
                <w:numId w:val="0"/>
              </w:numPr>
              <w:spacing w:after="120"/>
            </w:pPr>
            <w:r>
              <w:t>1</w:t>
            </w:r>
            <w:r w:rsidRPr="00A719D7">
              <w:rPr>
                <w:vertAlign w:val="superscript"/>
              </w:rPr>
              <w:t>st</w:t>
            </w:r>
            <w:r>
              <w:t xml:space="preserve"> September 2019.</w:t>
            </w:r>
          </w:p>
        </w:tc>
      </w:tr>
      <w:tr w:rsidR="00FA5835" w:rsidRPr="008676CF" w:rsidTr="00011263">
        <w:tc>
          <w:tcPr>
            <w:tcW w:w="3486" w:type="dxa"/>
          </w:tcPr>
          <w:p w:rsidR="00FA5835" w:rsidRPr="008676CF" w:rsidRDefault="00FA5835" w:rsidP="00FA5835">
            <w:pPr>
              <w:rPr>
                <w:b/>
              </w:rPr>
            </w:pPr>
            <w:r w:rsidRPr="008676CF">
              <w:rPr>
                <w:b/>
              </w:rPr>
              <w:t>Conditions</w:t>
            </w:r>
          </w:p>
        </w:tc>
        <w:tc>
          <w:tcPr>
            <w:tcW w:w="6721" w:type="dxa"/>
          </w:tcPr>
          <w:p w:rsidR="00FA5835" w:rsidRDefault="00FA5835" w:rsidP="00FA5835">
            <w:pPr>
              <w:pStyle w:val="ListBullet"/>
              <w:spacing w:after="120"/>
              <w:ind w:left="562" w:hanging="562"/>
            </w:pPr>
            <w:r>
              <w:t>Subject to Lease.</w:t>
            </w:r>
          </w:p>
          <w:p w:rsidR="00FA5835" w:rsidRPr="008676CF" w:rsidRDefault="00FA5835" w:rsidP="00FA5835">
            <w:pPr>
              <w:pStyle w:val="ListBullet"/>
              <w:spacing w:after="120"/>
              <w:ind w:left="562" w:hanging="562"/>
            </w:pPr>
            <w:r>
              <w:t>Subject to receipt of satisfactory financial checks and provision of satisfactory trading records.</w:t>
            </w:r>
          </w:p>
        </w:tc>
      </w:tr>
    </w:tbl>
    <w:p w:rsidR="00011263" w:rsidRDefault="00011263" w:rsidP="00011263">
      <w:pPr>
        <w:ind w:right="420"/>
      </w:pPr>
    </w:p>
    <w:p w:rsidR="00011263" w:rsidRDefault="00011263" w:rsidP="00011263">
      <w:pPr>
        <w:ind w:right="420"/>
      </w:pPr>
      <w:r>
        <w:t>I/We confirm acceptance of the above proposals:</w:t>
      </w:r>
    </w:p>
    <w:p w:rsidR="00011263" w:rsidRDefault="00011263" w:rsidP="00011263">
      <w:pPr>
        <w:ind w:right="420"/>
      </w:pPr>
    </w:p>
    <w:p w:rsidR="00011263" w:rsidRDefault="00011263" w:rsidP="00011263">
      <w:pPr>
        <w:ind w:right="420"/>
      </w:pPr>
      <w:r>
        <w:t>Signed.......................................................</w:t>
      </w:r>
    </w:p>
    <w:p w:rsidR="00011263" w:rsidRDefault="00011263" w:rsidP="00011263">
      <w:pPr>
        <w:ind w:right="420"/>
      </w:pPr>
    </w:p>
    <w:p w:rsidR="00011263" w:rsidRDefault="00011263" w:rsidP="00011263">
      <w:pPr>
        <w:ind w:right="420"/>
      </w:pPr>
      <w:r>
        <w:t>Print name.................................................</w:t>
      </w:r>
    </w:p>
    <w:p w:rsidR="00011263" w:rsidRDefault="00011263" w:rsidP="00011263">
      <w:pPr>
        <w:ind w:right="420"/>
      </w:pPr>
    </w:p>
    <w:p w:rsidR="00E90EB3" w:rsidRDefault="00011263" w:rsidP="004E0192">
      <w:pPr>
        <w:ind w:right="420"/>
      </w:pPr>
      <w:r>
        <w:t>Date..........................................................</w:t>
      </w:r>
    </w:p>
    <w:sectPr w:rsidR="00E90EB3" w:rsidSect="005B4571">
      <w:headerReference w:type="default" r:id="rId8"/>
      <w:footerReference w:type="default" r:id="rId9"/>
      <w:pgSz w:w="11906" w:h="16838"/>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29" w:rsidRDefault="002F0129" w:rsidP="005D7596">
      <w:pPr>
        <w:spacing w:line="240" w:lineRule="auto"/>
      </w:pPr>
      <w:r>
        <w:separator/>
      </w:r>
    </w:p>
  </w:endnote>
  <w:endnote w:type="continuationSeparator" w:id="0">
    <w:p w:rsidR="002F0129" w:rsidRDefault="002F0129" w:rsidP="005D75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9" w:rsidRPr="002F0129" w:rsidRDefault="002F0129">
    <w:pPr>
      <w:pStyle w:val="Footer"/>
      <w:rPr>
        <w:sz w:val="16"/>
        <w:szCs w:val="16"/>
      </w:rPr>
    </w:pPr>
    <w:r w:rsidRPr="002F0129">
      <w:rPr>
        <w:sz w:val="16"/>
        <w:szCs w:val="16"/>
      </w:rPr>
      <w:t>V2</w:t>
    </w:r>
  </w:p>
  <w:p w:rsidR="002F0129" w:rsidRDefault="002F0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29" w:rsidRDefault="002F0129" w:rsidP="005D7596">
      <w:pPr>
        <w:spacing w:line="240" w:lineRule="auto"/>
      </w:pPr>
      <w:r>
        <w:separator/>
      </w:r>
    </w:p>
  </w:footnote>
  <w:footnote w:type="continuationSeparator" w:id="0">
    <w:p w:rsidR="002F0129" w:rsidRDefault="002F0129" w:rsidP="005D75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3709"/>
      <w:docPartObj>
        <w:docPartGallery w:val="Watermarks"/>
        <w:docPartUnique/>
      </w:docPartObj>
    </w:sdtPr>
    <w:sdtContent>
      <w:p w:rsidR="002F0129" w:rsidRDefault="004B3127">
        <w:pPr>
          <w:pStyle w:val="Header"/>
        </w:pPr>
        <w:r w:rsidRPr="004B312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542732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71682DB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2A902D7C"/>
    <w:lvl w:ilvl="0">
      <w:start w:val="1"/>
      <w:numFmt w:val="decimal"/>
      <w:pStyle w:val="ListNumber"/>
      <w:lvlText w:val="%1."/>
      <w:lvlJc w:val="left"/>
      <w:pPr>
        <w:tabs>
          <w:tab w:val="num" w:pos="567"/>
        </w:tabs>
        <w:ind w:left="567" w:hanging="567"/>
      </w:pPr>
      <w:rPr>
        <w:rFonts w:hint="default"/>
        <w:b/>
        <w:i w:val="0"/>
      </w:rPr>
    </w:lvl>
  </w:abstractNum>
  <w:abstractNum w:abstractNumId="3">
    <w:nsid w:val="FFFFFF89"/>
    <w:multiLevelType w:val="singleLevel"/>
    <w:tmpl w:val="DDE06478"/>
    <w:lvl w:ilvl="0">
      <w:start w:val="1"/>
      <w:numFmt w:val="bullet"/>
      <w:lvlText w:val=""/>
      <w:lvlJc w:val="left"/>
      <w:pPr>
        <w:tabs>
          <w:tab w:val="num" w:pos="360"/>
        </w:tabs>
        <w:ind w:left="360" w:hanging="360"/>
      </w:pPr>
      <w:rPr>
        <w:rFonts w:ascii="Symbol" w:hAnsi="Symbol" w:hint="default"/>
      </w:rPr>
    </w:lvl>
  </w:abstractNum>
  <w:abstractNum w:abstractNumId="4">
    <w:nsid w:val="0277441C"/>
    <w:multiLevelType w:val="hybridMultilevel"/>
    <w:tmpl w:val="1D04858A"/>
    <w:lvl w:ilvl="0" w:tplc="5E0C5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E91988"/>
    <w:multiLevelType w:val="singleLevel"/>
    <w:tmpl w:val="6726A69A"/>
    <w:lvl w:ilvl="0">
      <w:start w:val="1"/>
      <w:numFmt w:val="decimal"/>
      <w:lvlText w:val="(%1)"/>
      <w:lvlJc w:val="left"/>
      <w:pPr>
        <w:tabs>
          <w:tab w:val="num" w:pos="720"/>
        </w:tabs>
        <w:ind w:left="720" w:hanging="720"/>
      </w:pPr>
      <w:rPr>
        <w:rFonts w:hint="default"/>
      </w:rPr>
    </w:lvl>
  </w:abstractNum>
  <w:abstractNum w:abstractNumId="6">
    <w:nsid w:val="08F7253F"/>
    <w:multiLevelType w:val="hybridMultilevel"/>
    <w:tmpl w:val="34C867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CDC0D4E"/>
    <w:multiLevelType w:val="hybridMultilevel"/>
    <w:tmpl w:val="F4A4CA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F6414AF"/>
    <w:multiLevelType w:val="hybridMultilevel"/>
    <w:tmpl w:val="4084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554AA"/>
    <w:multiLevelType w:val="hybridMultilevel"/>
    <w:tmpl w:val="937E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233925"/>
    <w:multiLevelType w:val="hybridMultilevel"/>
    <w:tmpl w:val="51664E08"/>
    <w:lvl w:ilvl="0" w:tplc="1A30EF14">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D4388F"/>
    <w:multiLevelType w:val="hybridMultilevel"/>
    <w:tmpl w:val="9E58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C5001C"/>
    <w:multiLevelType w:val="hybridMultilevel"/>
    <w:tmpl w:val="C63227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C2BFD"/>
    <w:multiLevelType w:val="singleLevel"/>
    <w:tmpl w:val="212ABE88"/>
    <w:lvl w:ilvl="0">
      <w:start w:val="1"/>
      <w:numFmt w:val="bullet"/>
      <w:pStyle w:val="ListBullet"/>
      <w:lvlText w:val=""/>
      <w:lvlJc w:val="left"/>
      <w:pPr>
        <w:tabs>
          <w:tab w:val="num" w:pos="567"/>
        </w:tabs>
        <w:ind w:left="567" w:hanging="567"/>
      </w:pPr>
      <w:rPr>
        <w:rFonts w:ascii="Wingdings" w:hAnsi="Wingdings" w:hint="default"/>
        <w:sz w:val="16"/>
      </w:rPr>
    </w:lvl>
  </w:abstractNum>
  <w:abstractNum w:abstractNumId="14">
    <w:nsid w:val="37EF18C5"/>
    <w:multiLevelType w:val="hybridMultilevel"/>
    <w:tmpl w:val="FF8424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8026062"/>
    <w:multiLevelType w:val="hybridMultilevel"/>
    <w:tmpl w:val="B0E48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9F701F5"/>
    <w:multiLevelType w:val="hybridMultilevel"/>
    <w:tmpl w:val="6C183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953DB2"/>
    <w:multiLevelType w:val="hybridMultilevel"/>
    <w:tmpl w:val="472E0C58"/>
    <w:lvl w:ilvl="0" w:tplc="A6885256">
      <w:start w:val="1"/>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F0F5D0E"/>
    <w:multiLevelType w:val="hybridMultilevel"/>
    <w:tmpl w:val="6164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3F0D96"/>
    <w:multiLevelType w:val="hybridMultilevel"/>
    <w:tmpl w:val="211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E3890"/>
    <w:multiLevelType w:val="hybridMultilevel"/>
    <w:tmpl w:val="EE664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D12C52"/>
    <w:multiLevelType w:val="hybridMultilevel"/>
    <w:tmpl w:val="E0EAF9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E7001A"/>
    <w:multiLevelType w:val="hybridMultilevel"/>
    <w:tmpl w:val="95346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F93B93"/>
    <w:multiLevelType w:val="hybridMultilevel"/>
    <w:tmpl w:val="7D189D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12F4AA2"/>
    <w:multiLevelType w:val="hybridMultilevel"/>
    <w:tmpl w:val="EA8E061C"/>
    <w:lvl w:ilvl="0" w:tplc="2EC80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FA28AE"/>
    <w:multiLevelType w:val="hybridMultilevel"/>
    <w:tmpl w:val="B8FC2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7F7055"/>
    <w:multiLevelType w:val="hybridMultilevel"/>
    <w:tmpl w:val="7CD0DD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6B80A4E"/>
    <w:multiLevelType w:val="hybridMultilevel"/>
    <w:tmpl w:val="E2C2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F738C6"/>
    <w:multiLevelType w:val="hybridMultilevel"/>
    <w:tmpl w:val="8A904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CE0620"/>
    <w:multiLevelType w:val="hybridMultilevel"/>
    <w:tmpl w:val="4650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23FEE"/>
    <w:multiLevelType w:val="hybridMultilevel"/>
    <w:tmpl w:val="784097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nsid w:val="7F33179D"/>
    <w:multiLevelType w:val="hybridMultilevel"/>
    <w:tmpl w:val="1264FE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FD6128E"/>
    <w:multiLevelType w:val="hybridMultilevel"/>
    <w:tmpl w:val="22C08D6A"/>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num w:numId="1">
    <w:abstractNumId w:val="3"/>
  </w:num>
  <w:num w:numId="2">
    <w:abstractNumId w:val="13"/>
  </w:num>
  <w:num w:numId="3">
    <w:abstractNumId w:val="1"/>
  </w:num>
  <w:num w:numId="4">
    <w:abstractNumId w:val="1"/>
  </w:num>
  <w:num w:numId="5">
    <w:abstractNumId w:val="0"/>
  </w:num>
  <w:num w:numId="6">
    <w:abstractNumId w:val="0"/>
  </w:num>
  <w:num w:numId="7">
    <w:abstractNumId w:val="2"/>
  </w:num>
  <w:num w:numId="8">
    <w:abstractNumId w:val="2"/>
  </w:num>
  <w:num w:numId="9">
    <w:abstractNumId w:val="5"/>
  </w:num>
  <w:num w:numId="10">
    <w:abstractNumId w:val="10"/>
  </w:num>
  <w:num w:numId="11">
    <w:abstractNumId w:val="6"/>
  </w:num>
  <w:num w:numId="12">
    <w:abstractNumId w:val="22"/>
  </w:num>
  <w:num w:numId="13">
    <w:abstractNumId w:val="7"/>
  </w:num>
  <w:num w:numId="14">
    <w:abstractNumId w:val="21"/>
  </w:num>
  <w:num w:numId="15">
    <w:abstractNumId w:val="25"/>
  </w:num>
  <w:num w:numId="16">
    <w:abstractNumId w:val="28"/>
  </w:num>
  <w:num w:numId="17">
    <w:abstractNumId w:val="16"/>
  </w:num>
  <w:num w:numId="18">
    <w:abstractNumId w:val="17"/>
  </w:num>
  <w:num w:numId="19">
    <w:abstractNumId w:val="29"/>
  </w:num>
  <w:num w:numId="20">
    <w:abstractNumId w:val="14"/>
  </w:num>
  <w:num w:numId="21">
    <w:abstractNumId w:val="11"/>
  </w:num>
  <w:num w:numId="22">
    <w:abstractNumId w:val="26"/>
  </w:num>
  <w:num w:numId="23">
    <w:abstractNumId w:val="30"/>
  </w:num>
  <w:num w:numId="24">
    <w:abstractNumId w:val="8"/>
  </w:num>
  <w:num w:numId="25">
    <w:abstractNumId w:val="23"/>
  </w:num>
  <w:num w:numId="26">
    <w:abstractNumId w:val="18"/>
  </w:num>
  <w:num w:numId="27">
    <w:abstractNumId w:val="31"/>
  </w:num>
  <w:num w:numId="28">
    <w:abstractNumId w:val="32"/>
  </w:num>
  <w:num w:numId="29">
    <w:abstractNumId w:val="15"/>
  </w:num>
  <w:num w:numId="30">
    <w:abstractNumId w:val="20"/>
  </w:num>
  <w:num w:numId="31">
    <w:abstractNumId w:val="4"/>
  </w:num>
  <w:num w:numId="32">
    <w:abstractNumId w:val="24"/>
  </w:num>
  <w:num w:numId="33">
    <w:abstractNumId w:val="12"/>
  </w:num>
  <w:num w:numId="34">
    <w:abstractNumId w:val="19"/>
  </w:num>
  <w:num w:numId="35">
    <w:abstractNumId w:val="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2257C"/>
    <w:rsid w:val="00000C1D"/>
    <w:rsid w:val="000037CE"/>
    <w:rsid w:val="00003BD8"/>
    <w:rsid w:val="000070F8"/>
    <w:rsid w:val="00011263"/>
    <w:rsid w:val="00013844"/>
    <w:rsid w:val="00014866"/>
    <w:rsid w:val="0002257C"/>
    <w:rsid w:val="000506B0"/>
    <w:rsid w:val="00062375"/>
    <w:rsid w:val="00074144"/>
    <w:rsid w:val="00074EB3"/>
    <w:rsid w:val="000815A8"/>
    <w:rsid w:val="000960A9"/>
    <w:rsid w:val="0009715F"/>
    <w:rsid w:val="000A25F4"/>
    <w:rsid w:val="000A2D61"/>
    <w:rsid w:val="000A664C"/>
    <w:rsid w:val="000A776E"/>
    <w:rsid w:val="000B352F"/>
    <w:rsid w:val="000B4B14"/>
    <w:rsid w:val="000C69AA"/>
    <w:rsid w:val="000D1300"/>
    <w:rsid w:val="000D2827"/>
    <w:rsid w:val="000E4DC9"/>
    <w:rsid w:val="000F4BA8"/>
    <w:rsid w:val="000F724B"/>
    <w:rsid w:val="00101073"/>
    <w:rsid w:val="001046DD"/>
    <w:rsid w:val="00104FDA"/>
    <w:rsid w:val="001177E8"/>
    <w:rsid w:val="00121AE4"/>
    <w:rsid w:val="00122A1A"/>
    <w:rsid w:val="0012492F"/>
    <w:rsid w:val="001306EC"/>
    <w:rsid w:val="00132CDB"/>
    <w:rsid w:val="0014015C"/>
    <w:rsid w:val="00152E94"/>
    <w:rsid w:val="00153280"/>
    <w:rsid w:val="0015514A"/>
    <w:rsid w:val="0016788E"/>
    <w:rsid w:val="00175626"/>
    <w:rsid w:val="001A4E02"/>
    <w:rsid w:val="001A5C01"/>
    <w:rsid w:val="001A5C4B"/>
    <w:rsid w:val="001B125E"/>
    <w:rsid w:val="001B5A1D"/>
    <w:rsid w:val="001C4989"/>
    <w:rsid w:val="001E132F"/>
    <w:rsid w:val="001E2826"/>
    <w:rsid w:val="001E5F1D"/>
    <w:rsid w:val="001F0A17"/>
    <w:rsid w:val="001F574D"/>
    <w:rsid w:val="002042ED"/>
    <w:rsid w:val="00221D9E"/>
    <w:rsid w:val="00236761"/>
    <w:rsid w:val="00237FB7"/>
    <w:rsid w:val="00251447"/>
    <w:rsid w:val="00274F7D"/>
    <w:rsid w:val="00277F40"/>
    <w:rsid w:val="002809E4"/>
    <w:rsid w:val="00281B94"/>
    <w:rsid w:val="00283400"/>
    <w:rsid w:val="00284015"/>
    <w:rsid w:val="00284972"/>
    <w:rsid w:val="002A693E"/>
    <w:rsid w:val="002B2E6B"/>
    <w:rsid w:val="002C14A7"/>
    <w:rsid w:val="002D1619"/>
    <w:rsid w:val="002D2C69"/>
    <w:rsid w:val="002D483F"/>
    <w:rsid w:val="002D4A46"/>
    <w:rsid w:val="002D5382"/>
    <w:rsid w:val="002D6CDD"/>
    <w:rsid w:val="002E12E6"/>
    <w:rsid w:val="002E65B9"/>
    <w:rsid w:val="002F0129"/>
    <w:rsid w:val="002F21EF"/>
    <w:rsid w:val="002F2758"/>
    <w:rsid w:val="002F4BD9"/>
    <w:rsid w:val="002F5DFA"/>
    <w:rsid w:val="00324D54"/>
    <w:rsid w:val="003338D0"/>
    <w:rsid w:val="00333FB4"/>
    <w:rsid w:val="0033462A"/>
    <w:rsid w:val="003444EB"/>
    <w:rsid w:val="00357B53"/>
    <w:rsid w:val="003602CA"/>
    <w:rsid w:val="0036660F"/>
    <w:rsid w:val="00372EB5"/>
    <w:rsid w:val="0038483A"/>
    <w:rsid w:val="00385C7E"/>
    <w:rsid w:val="00392A7C"/>
    <w:rsid w:val="00393099"/>
    <w:rsid w:val="003B1D59"/>
    <w:rsid w:val="003B4E64"/>
    <w:rsid w:val="003B5EED"/>
    <w:rsid w:val="003C0863"/>
    <w:rsid w:val="003C1E22"/>
    <w:rsid w:val="003C41C6"/>
    <w:rsid w:val="003C6250"/>
    <w:rsid w:val="003D11E3"/>
    <w:rsid w:val="003D48BA"/>
    <w:rsid w:val="00406460"/>
    <w:rsid w:val="00406768"/>
    <w:rsid w:val="00415BF8"/>
    <w:rsid w:val="0041673D"/>
    <w:rsid w:val="00422625"/>
    <w:rsid w:val="00423A76"/>
    <w:rsid w:val="00426261"/>
    <w:rsid w:val="00434B22"/>
    <w:rsid w:val="00450758"/>
    <w:rsid w:val="00453FDD"/>
    <w:rsid w:val="00456AA2"/>
    <w:rsid w:val="00475C6B"/>
    <w:rsid w:val="00484CEB"/>
    <w:rsid w:val="00491E77"/>
    <w:rsid w:val="00496E42"/>
    <w:rsid w:val="004B3127"/>
    <w:rsid w:val="004B325D"/>
    <w:rsid w:val="004C0677"/>
    <w:rsid w:val="004C5ED5"/>
    <w:rsid w:val="004D3548"/>
    <w:rsid w:val="004E0192"/>
    <w:rsid w:val="00501245"/>
    <w:rsid w:val="005042D7"/>
    <w:rsid w:val="00520169"/>
    <w:rsid w:val="005207C5"/>
    <w:rsid w:val="00526099"/>
    <w:rsid w:val="00527EB8"/>
    <w:rsid w:val="00533389"/>
    <w:rsid w:val="00552FE3"/>
    <w:rsid w:val="00556F86"/>
    <w:rsid w:val="00561F9D"/>
    <w:rsid w:val="005631FE"/>
    <w:rsid w:val="0057070D"/>
    <w:rsid w:val="005727F8"/>
    <w:rsid w:val="00573D04"/>
    <w:rsid w:val="00575D69"/>
    <w:rsid w:val="00583CCE"/>
    <w:rsid w:val="005852F6"/>
    <w:rsid w:val="00593CD3"/>
    <w:rsid w:val="005951D9"/>
    <w:rsid w:val="00595E33"/>
    <w:rsid w:val="005A0824"/>
    <w:rsid w:val="005A5BF7"/>
    <w:rsid w:val="005A687F"/>
    <w:rsid w:val="005B06DC"/>
    <w:rsid w:val="005B08A7"/>
    <w:rsid w:val="005B3C9B"/>
    <w:rsid w:val="005B4571"/>
    <w:rsid w:val="005C2037"/>
    <w:rsid w:val="005C7893"/>
    <w:rsid w:val="005C7C2A"/>
    <w:rsid w:val="005D7596"/>
    <w:rsid w:val="005E3330"/>
    <w:rsid w:val="005F6E93"/>
    <w:rsid w:val="006011AA"/>
    <w:rsid w:val="00603BBF"/>
    <w:rsid w:val="006040F6"/>
    <w:rsid w:val="006119AD"/>
    <w:rsid w:val="0061344C"/>
    <w:rsid w:val="0062333B"/>
    <w:rsid w:val="00630965"/>
    <w:rsid w:val="00650FEC"/>
    <w:rsid w:val="00651C77"/>
    <w:rsid w:val="00665D0F"/>
    <w:rsid w:val="006705D7"/>
    <w:rsid w:val="00671ACE"/>
    <w:rsid w:val="00680537"/>
    <w:rsid w:val="00684AE5"/>
    <w:rsid w:val="00693A01"/>
    <w:rsid w:val="006947EC"/>
    <w:rsid w:val="00695A02"/>
    <w:rsid w:val="006A6696"/>
    <w:rsid w:val="006B0248"/>
    <w:rsid w:val="006B0769"/>
    <w:rsid w:val="006B559B"/>
    <w:rsid w:val="006B7D33"/>
    <w:rsid w:val="006C29C6"/>
    <w:rsid w:val="006C3702"/>
    <w:rsid w:val="006C5075"/>
    <w:rsid w:val="006C5176"/>
    <w:rsid w:val="006D2DAD"/>
    <w:rsid w:val="006D779B"/>
    <w:rsid w:val="006F3346"/>
    <w:rsid w:val="007006FE"/>
    <w:rsid w:val="00705BC2"/>
    <w:rsid w:val="00710147"/>
    <w:rsid w:val="00712C88"/>
    <w:rsid w:val="00737BFC"/>
    <w:rsid w:val="00742AEA"/>
    <w:rsid w:val="00745694"/>
    <w:rsid w:val="0074645A"/>
    <w:rsid w:val="0075024E"/>
    <w:rsid w:val="00754082"/>
    <w:rsid w:val="007545A6"/>
    <w:rsid w:val="00760165"/>
    <w:rsid w:val="00761A18"/>
    <w:rsid w:val="00762E12"/>
    <w:rsid w:val="00764790"/>
    <w:rsid w:val="00773CF0"/>
    <w:rsid w:val="00774990"/>
    <w:rsid w:val="0078376E"/>
    <w:rsid w:val="00785EEB"/>
    <w:rsid w:val="007A0C76"/>
    <w:rsid w:val="007A2D7B"/>
    <w:rsid w:val="007A69FD"/>
    <w:rsid w:val="007B4472"/>
    <w:rsid w:val="007B56C2"/>
    <w:rsid w:val="007C0116"/>
    <w:rsid w:val="007C1686"/>
    <w:rsid w:val="007C5EBE"/>
    <w:rsid w:val="007D1BE2"/>
    <w:rsid w:val="007D64A3"/>
    <w:rsid w:val="007E0CD1"/>
    <w:rsid w:val="007E2D2D"/>
    <w:rsid w:val="007F0F84"/>
    <w:rsid w:val="007F127F"/>
    <w:rsid w:val="0080565F"/>
    <w:rsid w:val="00814044"/>
    <w:rsid w:val="008154D1"/>
    <w:rsid w:val="008173E8"/>
    <w:rsid w:val="00824DB3"/>
    <w:rsid w:val="00836924"/>
    <w:rsid w:val="00840297"/>
    <w:rsid w:val="00843C66"/>
    <w:rsid w:val="00844209"/>
    <w:rsid w:val="00854EBA"/>
    <w:rsid w:val="00860F1A"/>
    <w:rsid w:val="00860F57"/>
    <w:rsid w:val="00864FF7"/>
    <w:rsid w:val="00865C5F"/>
    <w:rsid w:val="00866017"/>
    <w:rsid w:val="008676CF"/>
    <w:rsid w:val="00871FAE"/>
    <w:rsid w:val="00874D62"/>
    <w:rsid w:val="00877DCF"/>
    <w:rsid w:val="0088407A"/>
    <w:rsid w:val="00884776"/>
    <w:rsid w:val="00893621"/>
    <w:rsid w:val="008941C1"/>
    <w:rsid w:val="008972B1"/>
    <w:rsid w:val="008A2D19"/>
    <w:rsid w:val="008A40F0"/>
    <w:rsid w:val="008B7F2A"/>
    <w:rsid w:val="008E37E6"/>
    <w:rsid w:val="008E3D1F"/>
    <w:rsid w:val="008F0711"/>
    <w:rsid w:val="00901B57"/>
    <w:rsid w:val="00906C3E"/>
    <w:rsid w:val="00924D98"/>
    <w:rsid w:val="00932768"/>
    <w:rsid w:val="00946F31"/>
    <w:rsid w:val="00951A42"/>
    <w:rsid w:val="00951A91"/>
    <w:rsid w:val="0095304F"/>
    <w:rsid w:val="0096063C"/>
    <w:rsid w:val="00960D83"/>
    <w:rsid w:val="00965506"/>
    <w:rsid w:val="0099321A"/>
    <w:rsid w:val="00996887"/>
    <w:rsid w:val="009A24D4"/>
    <w:rsid w:val="009A3D7D"/>
    <w:rsid w:val="009B6145"/>
    <w:rsid w:val="009C313C"/>
    <w:rsid w:val="009D0947"/>
    <w:rsid w:val="009E3E8B"/>
    <w:rsid w:val="009F112B"/>
    <w:rsid w:val="009F17C9"/>
    <w:rsid w:val="00A00E09"/>
    <w:rsid w:val="00A07282"/>
    <w:rsid w:val="00A14C63"/>
    <w:rsid w:val="00A40021"/>
    <w:rsid w:val="00A46053"/>
    <w:rsid w:val="00A515DB"/>
    <w:rsid w:val="00A54C73"/>
    <w:rsid w:val="00A55AE8"/>
    <w:rsid w:val="00A60B67"/>
    <w:rsid w:val="00A6136E"/>
    <w:rsid w:val="00A67CFA"/>
    <w:rsid w:val="00A719D7"/>
    <w:rsid w:val="00A736B0"/>
    <w:rsid w:val="00A76941"/>
    <w:rsid w:val="00A80B77"/>
    <w:rsid w:val="00A81777"/>
    <w:rsid w:val="00A93E74"/>
    <w:rsid w:val="00AA64D0"/>
    <w:rsid w:val="00AA6C7B"/>
    <w:rsid w:val="00AA7239"/>
    <w:rsid w:val="00AB493F"/>
    <w:rsid w:val="00AC140D"/>
    <w:rsid w:val="00AC51EF"/>
    <w:rsid w:val="00AD0F32"/>
    <w:rsid w:val="00AE07B8"/>
    <w:rsid w:val="00AF3E48"/>
    <w:rsid w:val="00AF42FB"/>
    <w:rsid w:val="00B03E08"/>
    <w:rsid w:val="00B04229"/>
    <w:rsid w:val="00B13CF2"/>
    <w:rsid w:val="00B14157"/>
    <w:rsid w:val="00B20CC5"/>
    <w:rsid w:val="00B2405F"/>
    <w:rsid w:val="00B27C9A"/>
    <w:rsid w:val="00B40761"/>
    <w:rsid w:val="00B57FCC"/>
    <w:rsid w:val="00B80E1D"/>
    <w:rsid w:val="00B83283"/>
    <w:rsid w:val="00B86A4D"/>
    <w:rsid w:val="00B91E7D"/>
    <w:rsid w:val="00B949B9"/>
    <w:rsid w:val="00BC4978"/>
    <w:rsid w:val="00BC54FE"/>
    <w:rsid w:val="00BC57D9"/>
    <w:rsid w:val="00BD16D3"/>
    <w:rsid w:val="00BD5641"/>
    <w:rsid w:val="00BD6670"/>
    <w:rsid w:val="00BE4D84"/>
    <w:rsid w:val="00BE66AA"/>
    <w:rsid w:val="00BE745F"/>
    <w:rsid w:val="00BF604D"/>
    <w:rsid w:val="00BF6529"/>
    <w:rsid w:val="00BF74D0"/>
    <w:rsid w:val="00C11961"/>
    <w:rsid w:val="00C23C7B"/>
    <w:rsid w:val="00C40FDA"/>
    <w:rsid w:val="00C4198E"/>
    <w:rsid w:val="00C447C2"/>
    <w:rsid w:val="00C57972"/>
    <w:rsid w:val="00C66426"/>
    <w:rsid w:val="00C75F50"/>
    <w:rsid w:val="00C815B4"/>
    <w:rsid w:val="00C9198B"/>
    <w:rsid w:val="00C93B63"/>
    <w:rsid w:val="00CA6F13"/>
    <w:rsid w:val="00CB7A24"/>
    <w:rsid w:val="00CD2518"/>
    <w:rsid w:val="00CD37B9"/>
    <w:rsid w:val="00CE26B0"/>
    <w:rsid w:val="00CE29F9"/>
    <w:rsid w:val="00CE4FC0"/>
    <w:rsid w:val="00CF252B"/>
    <w:rsid w:val="00D003C2"/>
    <w:rsid w:val="00D118ED"/>
    <w:rsid w:val="00D11E98"/>
    <w:rsid w:val="00D13F37"/>
    <w:rsid w:val="00D157A2"/>
    <w:rsid w:val="00D27471"/>
    <w:rsid w:val="00D323A6"/>
    <w:rsid w:val="00D4235D"/>
    <w:rsid w:val="00D4352C"/>
    <w:rsid w:val="00D52B1F"/>
    <w:rsid w:val="00D6047A"/>
    <w:rsid w:val="00D7057D"/>
    <w:rsid w:val="00D70645"/>
    <w:rsid w:val="00D81D18"/>
    <w:rsid w:val="00D84732"/>
    <w:rsid w:val="00D961A0"/>
    <w:rsid w:val="00DA08D6"/>
    <w:rsid w:val="00DA1732"/>
    <w:rsid w:val="00DA32F0"/>
    <w:rsid w:val="00DA512D"/>
    <w:rsid w:val="00DA7043"/>
    <w:rsid w:val="00DB7D45"/>
    <w:rsid w:val="00DC0875"/>
    <w:rsid w:val="00DC1B0B"/>
    <w:rsid w:val="00DC42C9"/>
    <w:rsid w:val="00DC47CB"/>
    <w:rsid w:val="00DC7225"/>
    <w:rsid w:val="00DD1C58"/>
    <w:rsid w:val="00DD31EC"/>
    <w:rsid w:val="00DD77F2"/>
    <w:rsid w:val="00DE4DA8"/>
    <w:rsid w:val="00DE50FD"/>
    <w:rsid w:val="00DE5605"/>
    <w:rsid w:val="00DE58AE"/>
    <w:rsid w:val="00DF6382"/>
    <w:rsid w:val="00DF6B5E"/>
    <w:rsid w:val="00E01B89"/>
    <w:rsid w:val="00E053D1"/>
    <w:rsid w:val="00E07996"/>
    <w:rsid w:val="00E131EF"/>
    <w:rsid w:val="00E25EEA"/>
    <w:rsid w:val="00E30D49"/>
    <w:rsid w:val="00E32443"/>
    <w:rsid w:val="00E51CA3"/>
    <w:rsid w:val="00E51F11"/>
    <w:rsid w:val="00E61216"/>
    <w:rsid w:val="00E63021"/>
    <w:rsid w:val="00E813B0"/>
    <w:rsid w:val="00E871D4"/>
    <w:rsid w:val="00E90EB3"/>
    <w:rsid w:val="00E9445B"/>
    <w:rsid w:val="00EA2C3C"/>
    <w:rsid w:val="00EB1198"/>
    <w:rsid w:val="00EB3796"/>
    <w:rsid w:val="00EB7431"/>
    <w:rsid w:val="00EC08B0"/>
    <w:rsid w:val="00EC103B"/>
    <w:rsid w:val="00EC5E61"/>
    <w:rsid w:val="00EE048F"/>
    <w:rsid w:val="00EE38C6"/>
    <w:rsid w:val="00EF0E21"/>
    <w:rsid w:val="00EF4CA8"/>
    <w:rsid w:val="00EF6589"/>
    <w:rsid w:val="00F0656C"/>
    <w:rsid w:val="00F1645F"/>
    <w:rsid w:val="00F26368"/>
    <w:rsid w:val="00F55EA8"/>
    <w:rsid w:val="00F658C0"/>
    <w:rsid w:val="00F7148E"/>
    <w:rsid w:val="00F75863"/>
    <w:rsid w:val="00F771F3"/>
    <w:rsid w:val="00F77ABD"/>
    <w:rsid w:val="00F85328"/>
    <w:rsid w:val="00F8548E"/>
    <w:rsid w:val="00F92944"/>
    <w:rsid w:val="00F93C03"/>
    <w:rsid w:val="00FA5835"/>
    <w:rsid w:val="00FB2D27"/>
    <w:rsid w:val="00FB31E5"/>
    <w:rsid w:val="00FD4597"/>
    <w:rsid w:val="00FD4EAC"/>
    <w:rsid w:val="00FE538D"/>
    <w:rsid w:val="00FE6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65F"/>
    <w:pPr>
      <w:spacing w:line="276" w:lineRule="auto"/>
    </w:pPr>
    <w:rPr>
      <w:rFonts w:ascii="Tahoma" w:hAnsi="Tahoma"/>
      <w:sz w:val="21"/>
    </w:rPr>
  </w:style>
  <w:style w:type="paragraph" w:styleId="Heading1">
    <w:name w:val="heading 1"/>
    <w:basedOn w:val="Normal"/>
    <w:next w:val="Heading2"/>
    <w:qFormat/>
    <w:rsid w:val="0080565F"/>
    <w:pPr>
      <w:keepNext/>
      <w:spacing w:before="240" w:after="60"/>
      <w:outlineLvl w:val="0"/>
    </w:pPr>
    <w:rPr>
      <w:sz w:val="28"/>
    </w:rPr>
  </w:style>
  <w:style w:type="paragraph" w:styleId="Heading2">
    <w:name w:val="heading 2"/>
    <w:basedOn w:val="Normal"/>
    <w:next w:val="Heading3"/>
    <w:qFormat/>
    <w:rsid w:val="0080565F"/>
    <w:pPr>
      <w:keepNext/>
      <w:spacing w:before="240" w:after="60"/>
      <w:outlineLvl w:val="1"/>
    </w:pPr>
    <w:rPr>
      <w:b/>
      <w:sz w:val="24"/>
    </w:rPr>
  </w:style>
  <w:style w:type="paragraph" w:styleId="Heading3">
    <w:name w:val="heading 3"/>
    <w:basedOn w:val="Normal"/>
    <w:next w:val="BKnormal"/>
    <w:qFormat/>
    <w:rsid w:val="0080565F"/>
    <w:pPr>
      <w:keepNext/>
      <w:spacing w:before="240" w:after="60"/>
      <w:outlineLvl w:val="2"/>
    </w:pPr>
    <w:rPr>
      <w:b/>
      <w:sz w:val="20"/>
    </w:rPr>
  </w:style>
  <w:style w:type="paragraph" w:styleId="Heading4">
    <w:name w:val="heading 4"/>
    <w:basedOn w:val="Normal"/>
    <w:next w:val="Normal"/>
    <w:qFormat/>
    <w:rsid w:val="0080565F"/>
    <w:pPr>
      <w:keepNext/>
      <w:spacing w:after="120"/>
      <w:outlineLvl w:val="3"/>
    </w:pPr>
    <w:rPr>
      <w:b/>
    </w:rPr>
  </w:style>
  <w:style w:type="paragraph" w:styleId="Heading7">
    <w:name w:val="heading 7"/>
    <w:basedOn w:val="Normal"/>
    <w:next w:val="Normal"/>
    <w:qFormat/>
    <w:rsid w:val="0080565F"/>
    <w:pPr>
      <w:keepNext/>
      <w:widowControl w:val="0"/>
      <w:pBdr>
        <w:bottom w:val="single" w:sz="6" w:space="1" w:color="auto"/>
      </w:pBdr>
      <w:spacing w:line="240" w:lineRule="auto"/>
      <w:outlineLvl w:val="6"/>
    </w:pPr>
    <w:rPr>
      <w:rFonts w:ascii="Times New Roman" w:hAnsi="Times New Roman"/>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normal">
    <w:name w:val="BK normal"/>
    <w:basedOn w:val="Normal"/>
    <w:rsid w:val="0080565F"/>
    <w:pPr>
      <w:spacing w:after="220"/>
      <w:jc w:val="both"/>
    </w:pPr>
  </w:style>
  <w:style w:type="paragraph" w:styleId="BodyText">
    <w:name w:val="Body Text"/>
    <w:basedOn w:val="Normal"/>
    <w:rsid w:val="0080565F"/>
    <w:pPr>
      <w:jc w:val="both"/>
    </w:pPr>
  </w:style>
  <w:style w:type="paragraph" w:styleId="EnvelopeAddress">
    <w:name w:val="envelope address"/>
    <w:basedOn w:val="Normal"/>
    <w:rsid w:val="0080565F"/>
    <w:pPr>
      <w:framePr w:w="7920" w:h="1980" w:hRule="exact" w:hSpace="180" w:wrap="auto" w:hAnchor="page" w:xAlign="center" w:yAlign="bottom"/>
      <w:ind w:left="2880"/>
    </w:pPr>
    <w:rPr>
      <w:rFonts w:cs="Arial"/>
      <w:szCs w:val="24"/>
    </w:rPr>
  </w:style>
  <w:style w:type="paragraph" w:styleId="EnvelopeReturn">
    <w:name w:val="envelope return"/>
    <w:basedOn w:val="Normal"/>
    <w:rsid w:val="0080565F"/>
    <w:rPr>
      <w:rFonts w:cs="Arial"/>
    </w:rPr>
  </w:style>
  <w:style w:type="paragraph" w:styleId="Header">
    <w:name w:val="header"/>
    <w:basedOn w:val="Normal"/>
    <w:rsid w:val="0080565F"/>
    <w:pPr>
      <w:tabs>
        <w:tab w:val="center" w:pos="4153"/>
        <w:tab w:val="right" w:pos="8306"/>
      </w:tabs>
      <w:jc w:val="right"/>
    </w:pPr>
    <w:rPr>
      <w:b/>
      <w:sz w:val="16"/>
    </w:rPr>
  </w:style>
  <w:style w:type="paragraph" w:styleId="ListBullet">
    <w:name w:val="List Bullet"/>
    <w:basedOn w:val="Normal"/>
    <w:rsid w:val="0080565F"/>
    <w:pPr>
      <w:numPr>
        <w:numId w:val="2"/>
      </w:numPr>
      <w:jc w:val="both"/>
    </w:pPr>
  </w:style>
  <w:style w:type="paragraph" w:styleId="ListBullet2">
    <w:name w:val="List Bullet 2"/>
    <w:basedOn w:val="Normal"/>
    <w:rsid w:val="0080565F"/>
    <w:pPr>
      <w:numPr>
        <w:numId w:val="4"/>
      </w:numPr>
      <w:tabs>
        <w:tab w:val="clear" w:pos="643"/>
        <w:tab w:val="num" w:pos="1134"/>
      </w:tabs>
      <w:ind w:left="1134" w:hanging="567"/>
      <w:jc w:val="both"/>
    </w:pPr>
  </w:style>
  <w:style w:type="paragraph" w:styleId="ListBullet3">
    <w:name w:val="List Bullet 3"/>
    <w:basedOn w:val="Normal"/>
    <w:rsid w:val="0080565F"/>
    <w:pPr>
      <w:numPr>
        <w:numId w:val="6"/>
      </w:numPr>
      <w:tabs>
        <w:tab w:val="clear" w:pos="926"/>
        <w:tab w:val="num" w:pos="1531"/>
      </w:tabs>
      <w:ind w:left="1531" w:hanging="397"/>
      <w:jc w:val="both"/>
    </w:pPr>
  </w:style>
  <w:style w:type="paragraph" w:styleId="ListNumber">
    <w:name w:val="List Number"/>
    <w:basedOn w:val="Normal"/>
    <w:rsid w:val="0080565F"/>
    <w:pPr>
      <w:numPr>
        <w:numId w:val="8"/>
      </w:numPr>
      <w:jc w:val="both"/>
    </w:pPr>
  </w:style>
  <w:style w:type="paragraph" w:customStyle="1" w:styleId="normalfigs">
    <w:name w:val="normal figs"/>
    <w:basedOn w:val="Normal"/>
    <w:next w:val="BKnormal"/>
    <w:rsid w:val="0080565F"/>
    <w:pPr>
      <w:jc w:val="right"/>
    </w:pPr>
  </w:style>
  <w:style w:type="character" w:styleId="PageNumber">
    <w:name w:val="page number"/>
    <w:basedOn w:val="DefaultParagraphFont"/>
    <w:rsid w:val="0080565F"/>
    <w:rPr>
      <w:rFonts w:ascii="Tahoma" w:hAnsi="Tahoma"/>
      <w:b/>
      <w:sz w:val="16"/>
    </w:rPr>
  </w:style>
  <w:style w:type="paragraph" w:styleId="Title">
    <w:name w:val="Title"/>
    <w:basedOn w:val="Normal"/>
    <w:next w:val="BKnormal"/>
    <w:qFormat/>
    <w:rsid w:val="0080565F"/>
    <w:pPr>
      <w:keepNext/>
      <w:spacing w:before="240" w:after="60"/>
      <w:jc w:val="right"/>
      <w:outlineLvl w:val="0"/>
    </w:pPr>
    <w:rPr>
      <w:b/>
      <w:sz w:val="32"/>
    </w:rPr>
  </w:style>
  <w:style w:type="paragraph" w:customStyle="1" w:styleId="BKNormal0">
    <w:name w:val="BKNormal"/>
    <w:basedOn w:val="Normal"/>
    <w:rsid w:val="0080565F"/>
    <w:pPr>
      <w:spacing w:line="240" w:lineRule="auto"/>
    </w:pPr>
    <w:rPr>
      <w:rFonts w:ascii="Times New Roman" w:hAnsi="Times New Roman"/>
      <w:sz w:val="24"/>
    </w:rPr>
  </w:style>
  <w:style w:type="character" w:styleId="Hyperlink">
    <w:name w:val="Hyperlink"/>
    <w:basedOn w:val="DefaultParagraphFont"/>
    <w:rsid w:val="008676CF"/>
    <w:rPr>
      <w:color w:val="0000FF"/>
      <w:u w:val="single"/>
    </w:rPr>
  </w:style>
  <w:style w:type="paragraph" w:styleId="ListParagraph">
    <w:name w:val="List Paragraph"/>
    <w:basedOn w:val="Normal"/>
    <w:uiPriority w:val="34"/>
    <w:qFormat/>
    <w:rsid w:val="00EE38C6"/>
    <w:pPr>
      <w:ind w:left="720"/>
      <w:contextualSpacing/>
    </w:pPr>
  </w:style>
  <w:style w:type="table" w:styleId="TableGrid">
    <w:name w:val="Table Grid"/>
    <w:basedOn w:val="TableNormal"/>
    <w:rsid w:val="00DC0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E90EB3"/>
    <w:pPr>
      <w:spacing w:after="240" w:line="312" w:lineRule="auto"/>
      <w:jc w:val="both"/>
    </w:pPr>
    <w:rPr>
      <w:rFonts w:ascii="Times New Roman" w:eastAsiaTheme="minorHAnsi" w:hAnsi="Times New Roman"/>
      <w:sz w:val="24"/>
      <w:szCs w:val="24"/>
    </w:rPr>
  </w:style>
  <w:style w:type="paragraph" w:styleId="BalloonText">
    <w:name w:val="Balloon Text"/>
    <w:basedOn w:val="Normal"/>
    <w:link w:val="BalloonTextChar"/>
    <w:rsid w:val="00D27471"/>
    <w:pPr>
      <w:spacing w:line="240" w:lineRule="auto"/>
    </w:pPr>
    <w:rPr>
      <w:rFonts w:cs="Tahoma"/>
      <w:sz w:val="16"/>
      <w:szCs w:val="16"/>
    </w:rPr>
  </w:style>
  <w:style w:type="character" w:customStyle="1" w:styleId="BalloonTextChar">
    <w:name w:val="Balloon Text Char"/>
    <w:basedOn w:val="DefaultParagraphFont"/>
    <w:link w:val="BalloonText"/>
    <w:rsid w:val="00D27471"/>
    <w:rPr>
      <w:rFonts w:ascii="Tahoma" w:hAnsi="Tahoma" w:cs="Tahoma"/>
      <w:sz w:val="16"/>
      <w:szCs w:val="16"/>
    </w:rPr>
  </w:style>
  <w:style w:type="paragraph" w:styleId="Footer">
    <w:name w:val="footer"/>
    <w:basedOn w:val="Normal"/>
    <w:link w:val="FooterChar"/>
    <w:uiPriority w:val="99"/>
    <w:rsid w:val="005D7596"/>
    <w:pPr>
      <w:tabs>
        <w:tab w:val="center" w:pos="4513"/>
        <w:tab w:val="right" w:pos="9026"/>
      </w:tabs>
      <w:spacing w:line="240" w:lineRule="auto"/>
    </w:pPr>
  </w:style>
  <w:style w:type="character" w:customStyle="1" w:styleId="FooterChar">
    <w:name w:val="Footer Char"/>
    <w:basedOn w:val="DefaultParagraphFont"/>
    <w:link w:val="Footer"/>
    <w:uiPriority w:val="99"/>
    <w:rsid w:val="005D7596"/>
    <w:rPr>
      <w:rFonts w:ascii="Tahoma" w:hAnsi="Tahoma"/>
      <w:sz w:val="21"/>
    </w:rPr>
  </w:style>
</w:styles>
</file>

<file path=word/webSettings.xml><?xml version="1.0" encoding="utf-8"?>
<w:webSettings xmlns:r="http://schemas.openxmlformats.org/officeDocument/2006/relationships" xmlns:w="http://schemas.openxmlformats.org/wordprocessingml/2006/main">
  <w:divs>
    <w:div w:id="71899884">
      <w:bodyDiv w:val="1"/>
      <w:marLeft w:val="60"/>
      <w:marRight w:val="60"/>
      <w:marTop w:val="60"/>
      <w:marBottom w:val="15"/>
      <w:divBdr>
        <w:top w:val="none" w:sz="0" w:space="0" w:color="auto"/>
        <w:left w:val="none" w:sz="0" w:space="0" w:color="auto"/>
        <w:bottom w:val="none" w:sz="0" w:space="0" w:color="auto"/>
        <w:right w:val="none" w:sz="0" w:space="0" w:color="auto"/>
      </w:divBdr>
      <w:divsChild>
        <w:div w:id="20059261">
          <w:marLeft w:val="0"/>
          <w:marRight w:val="0"/>
          <w:marTop w:val="0"/>
          <w:marBottom w:val="0"/>
          <w:divBdr>
            <w:top w:val="none" w:sz="0" w:space="0" w:color="auto"/>
            <w:left w:val="none" w:sz="0" w:space="0" w:color="auto"/>
            <w:bottom w:val="none" w:sz="0" w:space="0" w:color="auto"/>
            <w:right w:val="none" w:sz="0" w:space="0" w:color="auto"/>
          </w:divBdr>
        </w:div>
        <w:div w:id="82772161">
          <w:marLeft w:val="0"/>
          <w:marRight w:val="0"/>
          <w:marTop w:val="0"/>
          <w:marBottom w:val="0"/>
          <w:divBdr>
            <w:top w:val="none" w:sz="0" w:space="0" w:color="auto"/>
            <w:left w:val="none" w:sz="0" w:space="0" w:color="auto"/>
            <w:bottom w:val="none" w:sz="0" w:space="0" w:color="auto"/>
            <w:right w:val="none" w:sz="0" w:space="0" w:color="auto"/>
          </w:divBdr>
        </w:div>
        <w:div w:id="185754139">
          <w:marLeft w:val="0"/>
          <w:marRight w:val="0"/>
          <w:marTop w:val="0"/>
          <w:marBottom w:val="0"/>
          <w:divBdr>
            <w:top w:val="none" w:sz="0" w:space="0" w:color="auto"/>
            <w:left w:val="none" w:sz="0" w:space="0" w:color="auto"/>
            <w:bottom w:val="none" w:sz="0" w:space="0" w:color="auto"/>
            <w:right w:val="none" w:sz="0" w:space="0" w:color="auto"/>
          </w:divBdr>
        </w:div>
        <w:div w:id="202404282">
          <w:marLeft w:val="0"/>
          <w:marRight w:val="0"/>
          <w:marTop w:val="0"/>
          <w:marBottom w:val="0"/>
          <w:divBdr>
            <w:top w:val="none" w:sz="0" w:space="0" w:color="auto"/>
            <w:left w:val="none" w:sz="0" w:space="0" w:color="auto"/>
            <w:bottom w:val="none" w:sz="0" w:space="0" w:color="auto"/>
            <w:right w:val="none" w:sz="0" w:space="0" w:color="auto"/>
          </w:divBdr>
        </w:div>
        <w:div w:id="277419557">
          <w:marLeft w:val="0"/>
          <w:marRight w:val="0"/>
          <w:marTop w:val="0"/>
          <w:marBottom w:val="0"/>
          <w:divBdr>
            <w:top w:val="none" w:sz="0" w:space="0" w:color="auto"/>
            <w:left w:val="none" w:sz="0" w:space="0" w:color="auto"/>
            <w:bottom w:val="none" w:sz="0" w:space="0" w:color="auto"/>
            <w:right w:val="none" w:sz="0" w:space="0" w:color="auto"/>
          </w:divBdr>
        </w:div>
        <w:div w:id="296763647">
          <w:marLeft w:val="0"/>
          <w:marRight w:val="0"/>
          <w:marTop w:val="0"/>
          <w:marBottom w:val="0"/>
          <w:divBdr>
            <w:top w:val="none" w:sz="0" w:space="0" w:color="auto"/>
            <w:left w:val="none" w:sz="0" w:space="0" w:color="auto"/>
            <w:bottom w:val="none" w:sz="0" w:space="0" w:color="auto"/>
            <w:right w:val="none" w:sz="0" w:space="0" w:color="auto"/>
          </w:divBdr>
        </w:div>
        <w:div w:id="364253007">
          <w:marLeft w:val="0"/>
          <w:marRight w:val="0"/>
          <w:marTop w:val="0"/>
          <w:marBottom w:val="0"/>
          <w:divBdr>
            <w:top w:val="none" w:sz="0" w:space="0" w:color="auto"/>
            <w:left w:val="none" w:sz="0" w:space="0" w:color="auto"/>
            <w:bottom w:val="none" w:sz="0" w:space="0" w:color="auto"/>
            <w:right w:val="none" w:sz="0" w:space="0" w:color="auto"/>
          </w:divBdr>
        </w:div>
        <w:div w:id="518007446">
          <w:marLeft w:val="0"/>
          <w:marRight w:val="0"/>
          <w:marTop w:val="0"/>
          <w:marBottom w:val="0"/>
          <w:divBdr>
            <w:top w:val="none" w:sz="0" w:space="0" w:color="auto"/>
            <w:left w:val="none" w:sz="0" w:space="0" w:color="auto"/>
            <w:bottom w:val="none" w:sz="0" w:space="0" w:color="auto"/>
            <w:right w:val="none" w:sz="0" w:space="0" w:color="auto"/>
          </w:divBdr>
        </w:div>
        <w:div w:id="921178662">
          <w:marLeft w:val="0"/>
          <w:marRight w:val="0"/>
          <w:marTop w:val="0"/>
          <w:marBottom w:val="0"/>
          <w:divBdr>
            <w:top w:val="none" w:sz="0" w:space="0" w:color="auto"/>
            <w:left w:val="none" w:sz="0" w:space="0" w:color="auto"/>
            <w:bottom w:val="none" w:sz="0" w:space="0" w:color="auto"/>
            <w:right w:val="none" w:sz="0" w:space="0" w:color="auto"/>
          </w:divBdr>
        </w:div>
        <w:div w:id="925530568">
          <w:marLeft w:val="0"/>
          <w:marRight w:val="0"/>
          <w:marTop w:val="0"/>
          <w:marBottom w:val="0"/>
          <w:divBdr>
            <w:top w:val="none" w:sz="0" w:space="0" w:color="auto"/>
            <w:left w:val="none" w:sz="0" w:space="0" w:color="auto"/>
            <w:bottom w:val="none" w:sz="0" w:space="0" w:color="auto"/>
            <w:right w:val="none" w:sz="0" w:space="0" w:color="auto"/>
          </w:divBdr>
        </w:div>
        <w:div w:id="936906502">
          <w:marLeft w:val="0"/>
          <w:marRight w:val="0"/>
          <w:marTop w:val="0"/>
          <w:marBottom w:val="0"/>
          <w:divBdr>
            <w:top w:val="none" w:sz="0" w:space="0" w:color="auto"/>
            <w:left w:val="none" w:sz="0" w:space="0" w:color="auto"/>
            <w:bottom w:val="none" w:sz="0" w:space="0" w:color="auto"/>
            <w:right w:val="none" w:sz="0" w:space="0" w:color="auto"/>
          </w:divBdr>
        </w:div>
        <w:div w:id="1114131397">
          <w:marLeft w:val="0"/>
          <w:marRight w:val="0"/>
          <w:marTop w:val="0"/>
          <w:marBottom w:val="0"/>
          <w:divBdr>
            <w:top w:val="none" w:sz="0" w:space="0" w:color="auto"/>
            <w:left w:val="none" w:sz="0" w:space="0" w:color="auto"/>
            <w:bottom w:val="none" w:sz="0" w:space="0" w:color="auto"/>
            <w:right w:val="none" w:sz="0" w:space="0" w:color="auto"/>
          </w:divBdr>
        </w:div>
        <w:div w:id="1145971005">
          <w:marLeft w:val="0"/>
          <w:marRight w:val="0"/>
          <w:marTop w:val="0"/>
          <w:marBottom w:val="0"/>
          <w:divBdr>
            <w:top w:val="none" w:sz="0" w:space="0" w:color="auto"/>
            <w:left w:val="none" w:sz="0" w:space="0" w:color="auto"/>
            <w:bottom w:val="none" w:sz="0" w:space="0" w:color="auto"/>
            <w:right w:val="none" w:sz="0" w:space="0" w:color="auto"/>
          </w:divBdr>
        </w:div>
        <w:div w:id="1194613666">
          <w:marLeft w:val="0"/>
          <w:marRight w:val="0"/>
          <w:marTop w:val="0"/>
          <w:marBottom w:val="0"/>
          <w:divBdr>
            <w:top w:val="none" w:sz="0" w:space="0" w:color="auto"/>
            <w:left w:val="none" w:sz="0" w:space="0" w:color="auto"/>
            <w:bottom w:val="none" w:sz="0" w:space="0" w:color="auto"/>
            <w:right w:val="none" w:sz="0" w:space="0" w:color="auto"/>
          </w:divBdr>
        </w:div>
        <w:div w:id="1314215860">
          <w:marLeft w:val="0"/>
          <w:marRight w:val="0"/>
          <w:marTop w:val="0"/>
          <w:marBottom w:val="0"/>
          <w:divBdr>
            <w:top w:val="none" w:sz="0" w:space="0" w:color="auto"/>
            <w:left w:val="none" w:sz="0" w:space="0" w:color="auto"/>
            <w:bottom w:val="none" w:sz="0" w:space="0" w:color="auto"/>
            <w:right w:val="none" w:sz="0" w:space="0" w:color="auto"/>
          </w:divBdr>
        </w:div>
        <w:div w:id="1327516690">
          <w:marLeft w:val="0"/>
          <w:marRight w:val="0"/>
          <w:marTop w:val="0"/>
          <w:marBottom w:val="0"/>
          <w:divBdr>
            <w:top w:val="none" w:sz="0" w:space="0" w:color="auto"/>
            <w:left w:val="none" w:sz="0" w:space="0" w:color="auto"/>
            <w:bottom w:val="none" w:sz="0" w:space="0" w:color="auto"/>
            <w:right w:val="none" w:sz="0" w:space="0" w:color="auto"/>
          </w:divBdr>
        </w:div>
        <w:div w:id="1470440167">
          <w:marLeft w:val="0"/>
          <w:marRight w:val="0"/>
          <w:marTop w:val="0"/>
          <w:marBottom w:val="0"/>
          <w:divBdr>
            <w:top w:val="none" w:sz="0" w:space="0" w:color="auto"/>
            <w:left w:val="none" w:sz="0" w:space="0" w:color="auto"/>
            <w:bottom w:val="none" w:sz="0" w:space="0" w:color="auto"/>
            <w:right w:val="none" w:sz="0" w:space="0" w:color="auto"/>
          </w:divBdr>
        </w:div>
        <w:div w:id="1528060716">
          <w:marLeft w:val="0"/>
          <w:marRight w:val="0"/>
          <w:marTop w:val="0"/>
          <w:marBottom w:val="0"/>
          <w:divBdr>
            <w:top w:val="none" w:sz="0" w:space="0" w:color="auto"/>
            <w:left w:val="none" w:sz="0" w:space="0" w:color="auto"/>
            <w:bottom w:val="none" w:sz="0" w:space="0" w:color="auto"/>
            <w:right w:val="none" w:sz="0" w:space="0" w:color="auto"/>
          </w:divBdr>
        </w:div>
        <w:div w:id="1672218818">
          <w:marLeft w:val="0"/>
          <w:marRight w:val="0"/>
          <w:marTop w:val="0"/>
          <w:marBottom w:val="0"/>
          <w:divBdr>
            <w:top w:val="none" w:sz="0" w:space="0" w:color="auto"/>
            <w:left w:val="none" w:sz="0" w:space="0" w:color="auto"/>
            <w:bottom w:val="none" w:sz="0" w:space="0" w:color="auto"/>
            <w:right w:val="none" w:sz="0" w:space="0" w:color="auto"/>
          </w:divBdr>
        </w:div>
        <w:div w:id="1743718471">
          <w:marLeft w:val="0"/>
          <w:marRight w:val="0"/>
          <w:marTop w:val="0"/>
          <w:marBottom w:val="0"/>
          <w:divBdr>
            <w:top w:val="none" w:sz="0" w:space="0" w:color="auto"/>
            <w:left w:val="none" w:sz="0" w:space="0" w:color="auto"/>
            <w:bottom w:val="none" w:sz="0" w:space="0" w:color="auto"/>
            <w:right w:val="none" w:sz="0" w:space="0" w:color="auto"/>
          </w:divBdr>
        </w:div>
        <w:div w:id="1814830407">
          <w:marLeft w:val="0"/>
          <w:marRight w:val="0"/>
          <w:marTop w:val="0"/>
          <w:marBottom w:val="0"/>
          <w:divBdr>
            <w:top w:val="none" w:sz="0" w:space="0" w:color="auto"/>
            <w:left w:val="none" w:sz="0" w:space="0" w:color="auto"/>
            <w:bottom w:val="none" w:sz="0" w:space="0" w:color="auto"/>
            <w:right w:val="none" w:sz="0" w:space="0" w:color="auto"/>
          </w:divBdr>
        </w:div>
        <w:div w:id="1939210714">
          <w:marLeft w:val="0"/>
          <w:marRight w:val="0"/>
          <w:marTop w:val="0"/>
          <w:marBottom w:val="0"/>
          <w:divBdr>
            <w:top w:val="none" w:sz="0" w:space="0" w:color="auto"/>
            <w:left w:val="none" w:sz="0" w:space="0" w:color="auto"/>
            <w:bottom w:val="none" w:sz="0" w:space="0" w:color="auto"/>
            <w:right w:val="none" w:sz="0" w:space="0" w:color="auto"/>
          </w:divBdr>
        </w:div>
        <w:div w:id="2001344347">
          <w:marLeft w:val="0"/>
          <w:marRight w:val="0"/>
          <w:marTop w:val="0"/>
          <w:marBottom w:val="0"/>
          <w:divBdr>
            <w:top w:val="none" w:sz="0" w:space="0" w:color="auto"/>
            <w:left w:val="none" w:sz="0" w:space="0" w:color="auto"/>
            <w:bottom w:val="none" w:sz="0" w:space="0" w:color="auto"/>
            <w:right w:val="none" w:sz="0" w:space="0" w:color="auto"/>
          </w:divBdr>
        </w:div>
        <w:div w:id="2110005949">
          <w:marLeft w:val="0"/>
          <w:marRight w:val="0"/>
          <w:marTop w:val="0"/>
          <w:marBottom w:val="0"/>
          <w:divBdr>
            <w:top w:val="none" w:sz="0" w:space="0" w:color="auto"/>
            <w:left w:val="none" w:sz="0" w:space="0" w:color="auto"/>
            <w:bottom w:val="none" w:sz="0" w:space="0" w:color="auto"/>
            <w:right w:val="none" w:sz="0" w:space="0" w:color="auto"/>
          </w:divBdr>
        </w:div>
      </w:divsChild>
    </w:div>
    <w:div w:id="339159555">
      <w:bodyDiv w:val="1"/>
      <w:marLeft w:val="0"/>
      <w:marRight w:val="0"/>
      <w:marTop w:val="0"/>
      <w:marBottom w:val="0"/>
      <w:divBdr>
        <w:top w:val="none" w:sz="0" w:space="0" w:color="auto"/>
        <w:left w:val="none" w:sz="0" w:space="0" w:color="auto"/>
        <w:bottom w:val="none" w:sz="0" w:space="0" w:color="auto"/>
        <w:right w:val="none" w:sz="0" w:space="0" w:color="auto"/>
      </w:divBdr>
    </w:div>
    <w:div w:id="492648592">
      <w:bodyDiv w:val="1"/>
      <w:marLeft w:val="0"/>
      <w:marRight w:val="0"/>
      <w:marTop w:val="0"/>
      <w:marBottom w:val="0"/>
      <w:divBdr>
        <w:top w:val="none" w:sz="0" w:space="0" w:color="auto"/>
        <w:left w:val="none" w:sz="0" w:space="0" w:color="auto"/>
        <w:bottom w:val="none" w:sz="0" w:space="0" w:color="auto"/>
        <w:right w:val="none" w:sz="0" w:space="0" w:color="auto"/>
      </w:divBdr>
    </w:div>
    <w:div w:id="555045014">
      <w:bodyDiv w:val="1"/>
      <w:marLeft w:val="0"/>
      <w:marRight w:val="0"/>
      <w:marTop w:val="0"/>
      <w:marBottom w:val="0"/>
      <w:divBdr>
        <w:top w:val="none" w:sz="0" w:space="0" w:color="auto"/>
        <w:left w:val="none" w:sz="0" w:space="0" w:color="auto"/>
        <w:bottom w:val="none" w:sz="0" w:space="0" w:color="auto"/>
        <w:right w:val="none" w:sz="0" w:space="0" w:color="auto"/>
      </w:divBdr>
    </w:div>
    <w:div w:id="841356220">
      <w:bodyDiv w:val="1"/>
      <w:marLeft w:val="0"/>
      <w:marRight w:val="0"/>
      <w:marTop w:val="0"/>
      <w:marBottom w:val="0"/>
      <w:divBdr>
        <w:top w:val="none" w:sz="0" w:space="0" w:color="auto"/>
        <w:left w:val="none" w:sz="0" w:space="0" w:color="auto"/>
        <w:bottom w:val="none" w:sz="0" w:space="0" w:color="auto"/>
        <w:right w:val="none" w:sz="0" w:space="0" w:color="auto"/>
      </w:divBdr>
    </w:div>
    <w:div w:id="1322469318">
      <w:bodyDiv w:val="1"/>
      <w:marLeft w:val="60"/>
      <w:marRight w:val="60"/>
      <w:marTop w:val="60"/>
      <w:marBottom w:val="15"/>
      <w:divBdr>
        <w:top w:val="none" w:sz="0" w:space="0" w:color="auto"/>
        <w:left w:val="none" w:sz="0" w:space="0" w:color="auto"/>
        <w:bottom w:val="none" w:sz="0" w:space="0" w:color="auto"/>
        <w:right w:val="none" w:sz="0" w:space="0" w:color="auto"/>
      </w:divBdr>
      <w:divsChild>
        <w:div w:id="328601973">
          <w:marLeft w:val="0"/>
          <w:marRight w:val="0"/>
          <w:marTop w:val="0"/>
          <w:marBottom w:val="0"/>
          <w:divBdr>
            <w:top w:val="none" w:sz="0" w:space="0" w:color="auto"/>
            <w:left w:val="none" w:sz="0" w:space="0" w:color="auto"/>
            <w:bottom w:val="none" w:sz="0" w:space="0" w:color="auto"/>
            <w:right w:val="none" w:sz="0" w:space="0" w:color="auto"/>
          </w:divBdr>
        </w:div>
        <w:div w:id="1337808822">
          <w:marLeft w:val="0"/>
          <w:marRight w:val="0"/>
          <w:marTop w:val="0"/>
          <w:marBottom w:val="0"/>
          <w:divBdr>
            <w:top w:val="none" w:sz="0" w:space="0" w:color="auto"/>
            <w:left w:val="none" w:sz="0" w:space="0" w:color="auto"/>
            <w:bottom w:val="none" w:sz="0" w:space="0" w:color="auto"/>
            <w:right w:val="none" w:sz="0" w:space="0" w:color="auto"/>
          </w:divBdr>
        </w:div>
        <w:div w:id="150670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50D72-065C-4911-A45F-191A514B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Agreed Heads of Terms</vt:lpstr>
    </vt:vector>
  </TitlesOfParts>
  <Company>BK</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Agreed Heads of Terms</dc:title>
  <dc:creator>Victoria Bendall</dc:creator>
  <cp:lastModifiedBy>ElaineB</cp:lastModifiedBy>
  <cp:revision>2</cp:revision>
  <cp:lastPrinted>2018-11-28T16:47:00Z</cp:lastPrinted>
  <dcterms:created xsi:type="dcterms:W3CDTF">2018-11-29T11:37:00Z</dcterms:created>
  <dcterms:modified xsi:type="dcterms:W3CDTF">2018-11-29T11:37:00Z</dcterms:modified>
</cp:coreProperties>
</file>